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襄阳市发改委价格认定中心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年部门预算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目  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eastAsia" w:eastAsia="黑体" w:cs="Times New Roman"/>
          <w:sz w:val="36"/>
          <w:szCs w:val="36"/>
          <w:lang w:eastAsia="zh-CN"/>
        </w:rPr>
        <w:t>第一部分</w:t>
      </w:r>
      <w:r>
        <w:rPr>
          <w:rFonts w:hint="default" w:ascii="Times New Roman" w:hAnsi="Times New Roman" w:eastAsia="黑体" w:cs="Times New Roman"/>
          <w:sz w:val="36"/>
          <w:szCs w:val="36"/>
        </w:rPr>
        <w:t xml:space="preserve"> 部门概况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Chars="200" w:right="0" w:rightChars="0"/>
        <w:jc w:val="both"/>
        <w:rPr>
          <w:rFonts w:hint="default" w:ascii="Times New Roman" w:hAnsi="Times New Roman" w:eastAsia="黑体" w:cs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一、主要职责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（</w:t>
      </w:r>
      <w:r>
        <w:rPr>
          <w:rFonts w:hint="eastAsia" w:eastAsia="楷体" w:cs="Times New Roman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）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襄阳市发改委价格认定中心工作职责和任务：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1.纪检监察机关、司法机关、行政执法机关提出，对市场价格不明或者价格有争议的有形物品、无形资产和各类有偿服务等进行价格确认的行为。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hint="eastAsia" w:eastAsia="仿宋"/>
          <w:color w:val="000000"/>
          <w:kern w:val="2"/>
          <w:sz w:val="32"/>
          <w:szCs w:val="32"/>
          <w:lang w:val="en-US" w:eastAsia="zh-CN"/>
        </w:rPr>
        <w:t>2</w:t>
      </w:r>
      <w:r>
        <w:rPr>
          <w:rFonts w:eastAsia="仿宋"/>
          <w:color w:val="000000"/>
          <w:sz w:val="32"/>
          <w:szCs w:val="32"/>
        </w:rPr>
        <w:t>.对税务等行政部门</w:t>
      </w:r>
      <w:r>
        <w:rPr>
          <w:rFonts w:hint="eastAsia" w:eastAsia="仿宋"/>
          <w:color w:val="000000"/>
          <w:sz w:val="32"/>
          <w:szCs w:val="32"/>
          <w:lang w:eastAsia="zh-CN"/>
        </w:rPr>
        <w:t>提出</w:t>
      </w:r>
      <w:r>
        <w:rPr>
          <w:rFonts w:eastAsia="仿宋"/>
          <w:color w:val="000000"/>
          <w:sz w:val="32"/>
          <w:szCs w:val="32"/>
        </w:rPr>
        <w:t>，对涉及房产、土地、抵押物、机械设备等涉及的作为，经税务机关提出后，进行价格认定：（1）涉嫌税务违纪案件；（2）涉嫌偷漏骗税等案件；（3）涉及纳税标的物交易；（4）行政诉讼、复议及处罚案件；（5）行政征收、征用及执法活动；（6）国家赔偿、补偿事项；（7）法律、法规规定的其他情形；</w:t>
      </w:r>
    </w:p>
    <w:p>
      <w:pPr>
        <w:pStyle w:val="8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djustRightInd w:val="0"/>
        <w:snapToGrid w:val="0"/>
        <w:spacing w:line="560" w:lineRule="exact"/>
        <w:ind w:firstLine="640" w:firstLineChars="200"/>
        <w:rPr>
          <w:rFonts w:hint="default" w:eastAsia="仿宋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eastAsia="仿宋"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eastAsia="仿宋"/>
          <w:color w:val="000000"/>
          <w:kern w:val="2"/>
          <w:sz w:val="32"/>
          <w:szCs w:val="32"/>
          <w:lang w:val="en-US"/>
        </w:rPr>
        <w:t>.对财政部门、城管等国家机关从事行政执法案件中涉及的，价格不明或者价格有争议的，实行市场调节价的房产、土地、罚没物、没收物、抵押物等有形产品、无形资产和各类有偿服务进行价格认定。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（二）价格认定复核工作</w:t>
      </w:r>
    </w:p>
    <w:p>
      <w:pPr>
        <w:pStyle w:val="8"/>
        <w:keepNext w:val="0"/>
        <w:keepLines w:val="0"/>
        <w:pageBreakBefore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kern w:val="2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color w:val="000000"/>
          <w:kern w:val="2"/>
          <w:sz w:val="32"/>
          <w:szCs w:val="32"/>
          <w:lang w:val="en-US"/>
        </w:rPr>
        <w:t>负责对本辖县（市）区价格认定的复核事项。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二、机构设置情况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市发改委价格认定中心单位构成的基本情况如下：</w:t>
      </w:r>
    </w:p>
    <w:tbl>
      <w:tblPr>
        <w:tblStyle w:val="7"/>
        <w:tblW w:w="8177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7"/>
        <w:gridCol w:w="1185"/>
        <w:gridCol w:w="675"/>
        <w:gridCol w:w="990"/>
        <w:gridCol w:w="1050"/>
        <w:gridCol w:w="1005"/>
        <w:gridCol w:w="13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90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人员编制</w:t>
            </w:r>
          </w:p>
        </w:tc>
        <w:tc>
          <w:tcPr>
            <w:tcW w:w="30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实有人员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车辆数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0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在职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离休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退休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0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襄阳市发展和改革委员会价格认定中心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事业公益一类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eastAsia="仿宋" w:cs="Times New Roman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" w:cs="Times New Roman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420" w:firstLineChars="200"/>
        <w:rPr>
          <w:rFonts w:hint="default" w:ascii="Times New Roman" w:hAnsi="Times New Roman" w:eastAsia="仿宋" w:cs="Times New Roman"/>
          <w:i/>
          <w:iCs/>
        </w:rPr>
      </w:pPr>
      <w:r>
        <w:rPr>
          <w:rFonts w:hint="default" w:ascii="Times New Roman" w:hAnsi="Times New Roman" w:eastAsia="仿宋" w:cs="Times New Roman"/>
          <w:i/>
          <w:iCs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三、部门预算单位构成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i/>
          <w:iCs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根据工作职能，中心现设有认定一科、认定二科、认定三科和办公室，共“三科一室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720" w:firstLineChars="200"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Chars="200" w:right="0" w:rightChars="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第二部分</w:t>
      </w:r>
      <w:r>
        <w:rPr>
          <w:rFonts w:hint="eastAsia" w:ascii="黑体" w:hAnsi="黑体" w:eastAsia="黑体" w:cs="黑体"/>
          <w:sz w:val="36"/>
          <w:szCs w:val="36"/>
        </w:rPr>
        <w:t xml:space="preserve"> 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z w:val="36"/>
          <w:szCs w:val="36"/>
        </w:rPr>
        <w:t>年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预算收支及增减变化情况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一、202</w:t>
      </w:r>
      <w:r>
        <w:rPr>
          <w:rFonts w:hint="eastAsia" w:eastAsia="黑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年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预算收支及增减变化情况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（一）202</w:t>
      </w:r>
      <w:r>
        <w:rPr>
          <w:rFonts w:hint="eastAsia" w:eastAsia="楷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年预算收入情况说明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市发改委价格认定中心202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年预算总收入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317.89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了1.2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0.4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（二）202</w:t>
      </w:r>
      <w:r>
        <w:rPr>
          <w:rFonts w:hint="eastAsia" w:eastAsia="楷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  <w:t>年预算支出情况说明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市发改委价格认定中心202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年预算总收入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317.89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了1.2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0.4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二、202</w:t>
      </w:r>
      <w:r>
        <w:rPr>
          <w:rFonts w:hint="eastAsia" w:eastAsia="黑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年财政拨款收支预算情况说明</w:t>
      </w:r>
    </w:p>
    <w:p>
      <w:pPr>
        <w:pStyle w:val="8"/>
        <w:keepNext w:val="0"/>
        <w:keepLines w:val="0"/>
        <w:pageBreakBefore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宋体" w:cs="Times New Roman"/>
          <w:kern w:val="2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202</w:t>
      </w:r>
      <w:r>
        <w:rPr>
          <w:rFonts w:hint="eastAsia" w:eastAsia="仿宋" w:cs="Times New Roman"/>
          <w:kern w:val="2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年收支总预算</w:t>
      </w:r>
      <w:r>
        <w:rPr>
          <w:rFonts w:hint="eastAsia" w:eastAsia="仿宋" w:cs="Times New Roman"/>
          <w:kern w:val="2"/>
          <w:sz w:val="32"/>
          <w:szCs w:val="32"/>
          <w:lang w:val="en-US" w:eastAsia="zh-CN"/>
        </w:rPr>
        <w:t>317.89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万元。财政拨款收入</w:t>
      </w:r>
      <w:r>
        <w:rPr>
          <w:rFonts w:hint="eastAsia" w:eastAsia="仿宋" w:cs="Times New Roman"/>
          <w:kern w:val="2"/>
          <w:sz w:val="32"/>
          <w:szCs w:val="32"/>
          <w:lang w:val="en-US" w:eastAsia="zh-CN"/>
        </w:rPr>
        <w:t>317.89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万元；财政拨款基本支出</w:t>
      </w:r>
      <w:r>
        <w:rPr>
          <w:rFonts w:hint="eastAsia" w:eastAsia="仿宋" w:cs="Times New Roman"/>
          <w:kern w:val="2"/>
          <w:sz w:val="32"/>
          <w:szCs w:val="32"/>
          <w:lang w:val="en-US" w:eastAsia="zh-CN"/>
        </w:rPr>
        <w:t>261.95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万元，项目支出</w:t>
      </w:r>
      <w:r>
        <w:rPr>
          <w:rFonts w:hint="eastAsia" w:eastAsia="仿宋" w:cs="Times New Roman"/>
          <w:kern w:val="2"/>
          <w:sz w:val="32"/>
          <w:szCs w:val="32"/>
          <w:lang w:val="en-US" w:eastAsia="zh-CN"/>
        </w:rPr>
        <w:t>55.94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三、202</w:t>
      </w:r>
      <w:r>
        <w:rPr>
          <w:rFonts w:hint="eastAsia" w:eastAsia="黑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年一般公共预算拨款收支情况说明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（一）202</w:t>
      </w:r>
      <w:r>
        <w:rPr>
          <w:rFonts w:hint="eastAsia" w:eastAsia="楷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年一般公共预算当年拨款情况说明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sz w:val="32"/>
          <w:szCs w:val="32"/>
        </w:rPr>
        <w:t>年财政拨款预算数</w:t>
      </w:r>
      <w:r>
        <w:rPr>
          <w:rFonts w:hint="eastAsia" w:eastAsia="仿宋" w:cs="Times New Roman"/>
          <w:sz w:val="32"/>
          <w:szCs w:val="32"/>
          <w:lang w:val="en-US" w:eastAsia="zh-CN"/>
        </w:rPr>
        <w:t>317.89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了1.2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0.4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</w:t>
      </w:r>
      <w:r>
        <w:rPr>
          <w:rFonts w:hint="default" w:ascii="Times New Roman" w:hAnsi="Times New Roman" w:eastAsia="仿宋" w:cs="Times New Roman"/>
          <w:sz w:val="32"/>
          <w:szCs w:val="32"/>
        </w:rPr>
        <w:t>。分为</w:t>
      </w:r>
      <w:r>
        <w:rPr>
          <w:rFonts w:hint="eastAsia" w:eastAsia="仿宋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" w:cs="Times New Roman"/>
          <w:sz w:val="32"/>
          <w:szCs w:val="32"/>
        </w:rPr>
        <w:t>大类：物价管理管理支出</w:t>
      </w:r>
      <w:r>
        <w:rPr>
          <w:rFonts w:hint="eastAsia" w:eastAsia="仿宋" w:cs="Times New Roman"/>
          <w:sz w:val="32"/>
          <w:szCs w:val="32"/>
          <w:lang w:val="en-US" w:eastAsia="zh-CN"/>
        </w:rPr>
        <w:t>239.47万元</w:t>
      </w:r>
      <w:r>
        <w:rPr>
          <w:rFonts w:hint="default" w:ascii="Times New Roman" w:hAnsi="Times New Roman" w:eastAsia="仿宋" w:cs="Times New Roman"/>
          <w:sz w:val="32"/>
          <w:szCs w:val="32"/>
        </w:rPr>
        <w:t>，事业单位基本养老保险及年金缴费支出占</w:t>
      </w:r>
      <w:r>
        <w:rPr>
          <w:rFonts w:hint="eastAsia" w:eastAsia="仿宋" w:cs="Times New Roman"/>
          <w:sz w:val="32"/>
          <w:szCs w:val="32"/>
          <w:lang w:val="en-US" w:eastAsia="zh-CN"/>
        </w:rPr>
        <w:t>38.9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万元，事业单位医疗支出占</w:t>
      </w:r>
      <w:r>
        <w:rPr>
          <w:rFonts w:hint="eastAsia" w:eastAsia="仿宋" w:cs="Times New Roman"/>
          <w:sz w:val="32"/>
          <w:szCs w:val="32"/>
          <w:lang w:val="en-US" w:eastAsia="zh-CN"/>
        </w:rPr>
        <w:t>19.68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万元，住房公积金支出占</w:t>
      </w:r>
      <w:r>
        <w:rPr>
          <w:rFonts w:hint="eastAsia" w:eastAsia="仿宋" w:cs="Times New Roman"/>
          <w:sz w:val="32"/>
          <w:szCs w:val="32"/>
          <w:lang w:val="en-US" w:eastAsia="zh-CN"/>
        </w:rPr>
        <w:t>19.84</w:t>
      </w:r>
      <w:r>
        <w:rPr>
          <w:rFonts w:hint="default" w:ascii="Times New Roman" w:hAnsi="Times New Roman" w:eastAsia="仿宋" w:cs="Times New Roman"/>
          <w:sz w:val="32"/>
          <w:szCs w:val="32"/>
        </w:rPr>
        <w:t>万元。具体使用安排如下：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年物价管理支出预算数为</w:t>
      </w:r>
      <w:r>
        <w:rPr>
          <w:rFonts w:hint="eastAsia" w:eastAsia="仿宋" w:cs="Times New Roman"/>
          <w:sz w:val="32"/>
          <w:szCs w:val="32"/>
          <w:lang w:val="en-US" w:eastAsia="zh-CN"/>
        </w:rPr>
        <w:t>239.76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增加</w:t>
      </w:r>
      <w:r>
        <w:rPr>
          <w:rFonts w:hint="eastAsia" w:eastAsia="仿宋" w:cs="Times New Roman"/>
          <w:sz w:val="32"/>
          <w:szCs w:val="32"/>
          <w:lang w:val="en-US" w:eastAsia="zh-CN"/>
        </w:rPr>
        <w:t>0.76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增加了</w:t>
      </w:r>
      <w:r>
        <w:rPr>
          <w:rFonts w:hint="eastAsia" w:eastAsia="仿宋" w:cs="Times New Roman"/>
          <w:sz w:val="32"/>
          <w:szCs w:val="32"/>
          <w:lang w:val="en-US" w:eastAsia="zh-CN"/>
        </w:rPr>
        <w:t>0.3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</w:t>
      </w:r>
      <w:r>
        <w:rPr>
          <w:rFonts w:hint="default" w:ascii="Times New Roman" w:hAnsi="Times New Roman" w:eastAsia="仿宋" w:cs="Times New Roman"/>
          <w:sz w:val="32"/>
          <w:szCs w:val="32"/>
        </w:rPr>
        <w:t>。主要用于：在职人员基本工资、奖金、其他工资福利支出、福利费、工会经费、商品和服务支出、津贴补贴、物业服务补贴、培训费、其他对个人和家庭补助等人员经费以及相关业务支出，保障机构正常运行，开展日常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年事业单位医疗支出预算数为</w:t>
      </w:r>
      <w:r>
        <w:rPr>
          <w:rFonts w:hint="eastAsia" w:eastAsia="仿宋" w:cs="Times New Roman"/>
          <w:sz w:val="32"/>
          <w:szCs w:val="32"/>
          <w:lang w:val="en-US" w:eastAsia="zh-CN"/>
        </w:rPr>
        <w:t>19.68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万元，主要用于医疗费和社会保障费支出。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年住房公积金支出预算数为</w:t>
      </w:r>
      <w:r>
        <w:rPr>
          <w:rFonts w:hint="eastAsia" w:eastAsia="仿宋" w:cs="Times New Roman"/>
          <w:sz w:val="32"/>
          <w:szCs w:val="32"/>
          <w:lang w:val="en-US" w:eastAsia="zh-CN"/>
        </w:rPr>
        <w:t>19.84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万元，主要用于缴纳住房公积金。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年事业单位基本养老保险缴费支出预算数为</w:t>
      </w:r>
      <w:r>
        <w:rPr>
          <w:rFonts w:hint="eastAsia" w:eastAsia="仿宋" w:cs="Times New Roman"/>
          <w:sz w:val="32"/>
          <w:szCs w:val="32"/>
          <w:lang w:val="en-US" w:eastAsia="zh-CN"/>
        </w:rPr>
        <w:t>38.9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万元，主要用于养老保险缴费。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（二）202</w:t>
      </w:r>
      <w:r>
        <w:rPr>
          <w:rFonts w:hint="eastAsia" w:eastAsia="楷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年一般公共预算支出情况说明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基本支出预算</w:t>
      </w:r>
      <w:r>
        <w:rPr>
          <w:rFonts w:hint="eastAsia" w:eastAsia="仿宋" w:cs="Times New Roman"/>
          <w:sz w:val="32"/>
          <w:szCs w:val="32"/>
          <w:lang w:val="en-US" w:eastAsia="zh-CN"/>
        </w:rPr>
        <w:t>261.95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了1.2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0.4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</w:t>
      </w:r>
      <w:r>
        <w:rPr>
          <w:rFonts w:hint="default" w:ascii="Times New Roman" w:hAnsi="Times New Roman" w:eastAsia="仿宋" w:cs="Times New Roman"/>
          <w:sz w:val="32"/>
          <w:szCs w:val="32"/>
        </w:rPr>
        <w:t>。具体明细如下：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（1）在职津补贴</w:t>
      </w:r>
      <w:r>
        <w:rPr>
          <w:rFonts w:hint="eastAsia" w:eastAsia="仿宋" w:cs="Times New Roman"/>
          <w:sz w:val="32"/>
          <w:szCs w:val="32"/>
          <w:lang w:val="en-US" w:eastAsia="zh-CN"/>
        </w:rPr>
        <w:t>14.73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（2）工会经费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3.7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（3）商品和服务支出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14.87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（4）基本工资</w:t>
      </w:r>
      <w:r>
        <w:rPr>
          <w:rFonts w:hint="eastAsia" w:eastAsia="仿宋" w:cs="Times New Roman"/>
          <w:sz w:val="32"/>
          <w:szCs w:val="32"/>
          <w:lang w:val="en-US" w:eastAsia="zh-CN"/>
        </w:rPr>
        <w:t>47.98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（5）奖金</w:t>
      </w:r>
      <w:r>
        <w:rPr>
          <w:rFonts w:hint="eastAsia" w:eastAsia="仿宋" w:cs="Times New Roman"/>
          <w:sz w:val="32"/>
          <w:szCs w:val="32"/>
          <w:lang w:val="en-US" w:eastAsia="zh-CN"/>
        </w:rPr>
        <w:t>71.93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（6）</w:t>
      </w:r>
      <w:r>
        <w:rPr>
          <w:rFonts w:hint="eastAsia" w:eastAsia="仿宋" w:cs="Times New Roman"/>
          <w:color w:val="auto"/>
          <w:sz w:val="32"/>
          <w:szCs w:val="32"/>
          <w:lang w:eastAsia="zh-CN"/>
        </w:rPr>
        <w:t>其它工资及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福利费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（7）事业单位基本养老保险缴费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38.9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（8）其他社会保障缴费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1.29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（9）职工基本医疗保险缴费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14.05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（10）住房公积金</w:t>
      </w:r>
      <w:r>
        <w:rPr>
          <w:rFonts w:hint="eastAsia" w:eastAsia="仿宋" w:cs="Times New Roman"/>
          <w:sz w:val="32"/>
          <w:szCs w:val="32"/>
          <w:lang w:val="en-US" w:eastAsia="zh-CN"/>
        </w:rPr>
        <w:t>19.84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960" w:firstLineChars="300"/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"/>
          <w:color w:val="auto"/>
          <w:sz w:val="32"/>
          <w:szCs w:val="32"/>
        </w:rPr>
        <w:t>(11)绩效工资30.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66</w:t>
      </w:r>
      <w:r>
        <w:rPr>
          <w:rFonts w:hint="eastAsia" w:eastAsia="仿宋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项目支出预算</w:t>
      </w:r>
      <w:r>
        <w:rPr>
          <w:rFonts w:hint="eastAsia" w:eastAsia="仿宋" w:cs="Times New Roman"/>
          <w:sz w:val="32"/>
          <w:szCs w:val="32"/>
          <w:lang w:val="en-US" w:eastAsia="zh-CN"/>
        </w:rPr>
        <w:t>55.94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与上年持平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具体明细如下：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涉案刑事、非刑事、涉税、纪检财物价格</w:t>
      </w:r>
      <w:r>
        <w:rPr>
          <w:rFonts w:hint="eastAsia" w:eastAsia="仿宋" w:cs="Times New Roman"/>
          <w:sz w:val="32"/>
          <w:szCs w:val="32"/>
          <w:lang w:eastAsia="zh-CN"/>
        </w:rPr>
        <w:t>认定</w:t>
      </w:r>
      <w:r>
        <w:rPr>
          <w:rFonts w:hint="default" w:ascii="Times New Roman" w:hAnsi="Times New Roman" w:eastAsia="仿宋" w:cs="Times New Roman"/>
          <w:sz w:val="32"/>
          <w:szCs w:val="32"/>
        </w:rPr>
        <w:t>费</w:t>
      </w:r>
      <w:r>
        <w:rPr>
          <w:rFonts w:hint="eastAsia" w:eastAsia="仿宋" w:cs="Times New Roman"/>
          <w:sz w:val="32"/>
          <w:szCs w:val="32"/>
          <w:lang w:val="en-US" w:eastAsia="zh-CN"/>
        </w:rPr>
        <w:t>47.304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7"/>
        <w:tblW w:w="8385" w:type="dxa"/>
        <w:tblInd w:w="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6" w:type="dxa"/>
          <w:bottom w:w="0" w:type="dxa"/>
          <w:right w:w="46" w:type="dxa"/>
        </w:tblCellMar>
      </w:tblPr>
      <w:tblGrid>
        <w:gridCol w:w="6465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1"/>
              </w:rPr>
              <w:t>明细预算项目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金额</w:t>
            </w:r>
            <w:r>
              <w:rPr>
                <w:rFonts w:hint="eastAsia" w:eastAsia="仿宋" w:cs="Times New Roman"/>
                <w:color w:val="000000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eastAsia="zh-CN"/>
              </w:rPr>
              <w:t>办公用电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eastAsia="zh-CN"/>
              </w:rPr>
              <w:t>现场勘验交通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长期购买专业技术人员劳务费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25.864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eastAsia="zh-CN"/>
              </w:rPr>
              <w:t>办案、审案办公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专业学习、培训费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业务案审会议费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eastAsia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eastAsia="zh-CN"/>
              </w:rPr>
              <w:t>各项资料及办公印刷费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专业设备购置、更换费用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sz w:val="21"/>
                <w:szCs w:val="21"/>
                <w:lang w:val="en-US" w:eastAsia="zh-CN"/>
              </w:rPr>
              <w:t>3.44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46" w:type="dxa"/>
            <w:bottom w:w="0" w:type="dxa"/>
            <w:right w:w="46" w:type="dxa"/>
          </w:tblCellMar>
        </w:tblPrEx>
        <w:tc>
          <w:tcPr>
            <w:tcW w:w="6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keepNext w:val="0"/>
              <w:keepLines w:val="0"/>
              <w:pageBreakBefore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rPr>
                <w:rFonts w:hint="default" w:ascii="Times New Roman" w:hAnsi="Times New Roman" w:eastAsia="仿宋" w:cs="Times New Roman"/>
                <w:color w:val="FFFF00"/>
                <w:sz w:val="28"/>
                <w:szCs w:val="21"/>
                <w:shd w:val="clear" w:color="auto" w:fill="8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1"/>
              </w:rPr>
              <w:t>合        计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Autospacing="0" w:afterAutospacing="0" w:line="560" w:lineRule="exact"/>
              <w:ind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FFFF00"/>
                <w:sz w:val="24"/>
                <w:shd w:val="clear" w:color="auto" w:fill="800000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47.304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7"/>
        <w:tblW w:w="84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5"/>
        <w:gridCol w:w="25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价格认定采价经费8.64万元；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明细预算项目</w:t>
            </w:r>
          </w:p>
        </w:tc>
        <w:tc>
          <w:tcPr>
            <w:tcW w:w="25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采价办公费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交通费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四、一般公共预算基本支出情况说明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sz w:val="32"/>
          <w:szCs w:val="32"/>
        </w:rPr>
        <w:t>基本支出预算</w:t>
      </w:r>
      <w:r>
        <w:rPr>
          <w:rFonts w:hint="eastAsia" w:eastAsia="仿宋" w:cs="Times New Roman"/>
          <w:sz w:val="32"/>
          <w:szCs w:val="32"/>
          <w:lang w:val="en-US" w:eastAsia="zh-CN"/>
        </w:rPr>
        <w:t>263.15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万元，相比上年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了1.2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0.4</w:t>
      </w:r>
      <w:r>
        <w:rPr>
          <w:rFonts w:hint="default" w:ascii="Times New Roman" w:hAnsi="Times New Roman" w:eastAsia="仿宋" w:cs="Times New Roman"/>
          <w:sz w:val="32"/>
          <w:szCs w:val="32"/>
        </w:rPr>
        <w:t>%，主要原因是</w:t>
      </w:r>
      <w:r>
        <w:rPr>
          <w:rFonts w:hint="eastAsia" w:eastAsia="仿宋" w:cs="Times New Roman"/>
          <w:sz w:val="32"/>
          <w:szCs w:val="32"/>
          <w:lang w:eastAsia="zh-CN"/>
        </w:rPr>
        <w:t>人员变动级差所致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具体明细如下：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（1）在职津补贴</w:t>
      </w:r>
      <w:r>
        <w:rPr>
          <w:rFonts w:hint="eastAsia" w:eastAsia="仿宋" w:cs="Times New Roman"/>
          <w:sz w:val="32"/>
          <w:szCs w:val="32"/>
          <w:lang w:val="en-US" w:eastAsia="zh-CN"/>
        </w:rPr>
        <w:t>14.73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（2）工会经费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3.7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（3）商品和服务支出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14.87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（4）基本工资</w:t>
      </w:r>
      <w:r>
        <w:rPr>
          <w:rFonts w:hint="eastAsia" w:eastAsia="仿宋" w:cs="Times New Roman"/>
          <w:sz w:val="32"/>
          <w:szCs w:val="32"/>
          <w:lang w:val="en-US" w:eastAsia="zh-CN"/>
        </w:rPr>
        <w:t>47.98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（5）奖金</w:t>
      </w:r>
      <w:r>
        <w:rPr>
          <w:rFonts w:hint="eastAsia" w:eastAsia="仿宋" w:cs="Times New Roman"/>
          <w:sz w:val="32"/>
          <w:szCs w:val="32"/>
          <w:lang w:val="en-US" w:eastAsia="zh-CN"/>
        </w:rPr>
        <w:t>71.93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（6）</w:t>
      </w:r>
      <w:r>
        <w:rPr>
          <w:rFonts w:hint="eastAsia" w:eastAsia="仿宋" w:cs="Times New Roman"/>
          <w:color w:val="auto"/>
          <w:sz w:val="32"/>
          <w:szCs w:val="32"/>
          <w:lang w:eastAsia="zh-CN"/>
        </w:rPr>
        <w:t>其它工资及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福利费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（7）事业单位基本养老保险缴费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38.9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（8）其他社会保障缴费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1.29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（9）职工基本医疗保险缴费</w:t>
      </w:r>
      <w:r>
        <w:rPr>
          <w:rFonts w:hint="eastAsia" w:eastAsia="仿宋" w:cs="Times New Roman"/>
          <w:sz w:val="32"/>
          <w:szCs w:val="32"/>
          <w:lang w:val="en-US" w:eastAsia="zh-CN"/>
        </w:rPr>
        <w:t>14.05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（10）住房公积金</w:t>
      </w:r>
      <w:r>
        <w:rPr>
          <w:rFonts w:hint="eastAsia" w:eastAsia="仿宋" w:cs="Times New Roman"/>
          <w:sz w:val="32"/>
          <w:szCs w:val="32"/>
          <w:lang w:val="en-US" w:eastAsia="zh-CN"/>
        </w:rPr>
        <w:t>19.84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960" w:firstLineChars="300"/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"/>
          <w:color w:val="auto"/>
          <w:sz w:val="32"/>
          <w:szCs w:val="32"/>
        </w:rPr>
        <w:t>(11)绩效工资30.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66</w:t>
      </w:r>
      <w:r>
        <w:rPr>
          <w:rFonts w:hint="eastAsia" w:eastAsia="仿宋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五、202</w:t>
      </w:r>
      <w:r>
        <w:rPr>
          <w:rFonts w:hint="eastAsia" w:eastAsia="黑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年“三公”经费预算情况说明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1280" w:firstLineChars="400"/>
        <w:jc w:val="left"/>
        <w:rPr>
          <w:rFonts w:hint="eastAsia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年部门“三公”经费预算数是1.5万元，</w:t>
      </w:r>
      <w:r>
        <w:rPr>
          <w:rFonts w:hint="eastAsia" w:eastAsia="仿宋" w:cs="Times New Roman"/>
          <w:sz w:val="32"/>
          <w:szCs w:val="32"/>
          <w:lang w:eastAsia="zh-CN"/>
        </w:rPr>
        <w:t>与上年持平</w:t>
      </w:r>
      <w:r>
        <w:rPr>
          <w:rFonts w:hint="default" w:ascii="Times New Roman" w:hAnsi="Times New Roman" w:eastAsia="仿宋" w:cs="Times New Roman"/>
          <w:sz w:val="32"/>
          <w:szCs w:val="32"/>
        </w:rPr>
        <w:t>。原因是</w:t>
      </w:r>
      <w:r>
        <w:rPr>
          <w:rFonts w:hint="eastAsia" w:eastAsia="仿宋" w:cs="Times New Roman"/>
          <w:sz w:val="32"/>
          <w:szCs w:val="32"/>
          <w:lang w:eastAsia="zh-CN"/>
        </w:rPr>
        <w:t>严格</w:t>
      </w:r>
      <w:r>
        <w:rPr>
          <w:rFonts w:hint="default" w:ascii="Times New Roman" w:hAnsi="Times New Roman" w:eastAsia="仿宋" w:cs="Times New Roman"/>
          <w:sz w:val="32"/>
          <w:szCs w:val="32"/>
        </w:rPr>
        <w:t>贯彻落实中央八项规定和厉行节约有关要求</w:t>
      </w:r>
      <w:r>
        <w:rPr>
          <w:rFonts w:hint="eastAsia" w:eastAsia="仿宋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eastAsia" w:eastAsia="仿宋" w:cs="Times New Roman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六、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政府采购预算安排情况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firstLine="560" w:firstLineChars="200"/>
        <w:rPr>
          <w:rFonts w:hint="default" w:ascii="Times New Roman" w:hAnsi="Times New Roman" w:eastAsia="仿宋" w:cs="Times New Roman"/>
          <w:b/>
          <w:bCs/>
        </w:rPr>
      </w:pPr>
      <w:r>
        <w:rPr>
          <w:rFonts w:hint="eastAsia" w:eastAsia="仿宋" w:cs="Times New Roman"/>
          <w:b w:val="0"/>
          <w:bCs w:val="0"/>
          <w:sz w:val="28"/>
          <w:szCs w:val="28"/>
          <w:lang w:val="en-US" w:eastAsia="zh-CN"/>
        </w:rPr>
        <w:t>2025</w:t>
      </w:r>
      <w:r>
        <w:rPr>
          <w:rFonts w:hint="eastAsia" w:eastAsia="仿宋" w:cs="Times New Roman"/>
          <w:b/>
          <w:bCs/>
          <w:sz w:val="28"/>
          <w:szCs w:val="28"/>
          <w:lang w:val="en-US" w:eastAsia="zh-CN"/>
        </w:rPr>
        <w:t>年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政府采购预算安排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共计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3.44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万元。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（1）按国产化替代要求新增国产台式电脑</w:t>
      </w:r>
      <w:r>
        <w:rPr>
          <w:rFonts w:hint="eastAsia" w:eastAsia="仿宋" w:cs="Times New Roman"/>
          <w:lang w:val="en-US" w:eastAsia="zh-CN"/>
        </w:rPr>
        <w:t>5</w:t>
      </w:r>
      <w:r>
        <w:rPr>
          <w:rFonts w:hint="default" w:ascii="Times New Roman" w:hAnsi="Times New Roman" w:eastAsia="仿宋" w:cs="Times New Roman"/>
        </w:rPr>
        <w:t>台，国产操作系统</w:t>
      </w:r>
      <w:r>
        <w:rPr>
          <w:rFonts w:hint="eastAsia" w:eastAsia="仿宋" w:cs="Times New Roman"/>
          <w:lang w:val="en-US" w:eastAsia="zh-CN"/>
        </w:rPr>
        <w:t>5</w:t>
      </w:r>
      <w:r>
        <w:rPr>
          <w:rFonts w:hint="default" w:ascii="Times New Roman" w:hAnsi="Times New Roman" w:eastAsia="仿宋" w:cs="Times New Roman"/>
        </w:rPr>
        <w:t>套，共计</w:t>
      </w:r>
      <w:r>
        <w:rPr>
          <w:rFonts w:hint="eastAsia" w:eastAsia="仿宋" w:cs="Times New Roman"/>
          <w:lang w:val="en-US" w:eastAsia="zh-CN"/>
        </w:rPr>
        <w:t>2.5</w:t>
      </w:r>
      <w:r>
        <w:rPr>
          <w:rFonts w:hint="default" w:ascii="Times New Roman" w:hAnsi="Times New Roman" w:eastAsia="仿宋" w:cs="Times New Roman"/>
        </w:rPr>
        <w:t>万元。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（2）新增</w:t>
      </w:r>
      <w:r>
        <w:rPr>
          <w:rFonts w:hint="eastAsia" w:eastAsia="仿宋" w:cs="Times New Roman"/>
          <w:lang w:eastAsia="zh-CN"/>
        </w:rPr>
        <w:t>国产化办公设备：彩色打印机</w:t>
      </w:r>
      <w:r>
        <w:rPr>
          <w:rFonts w:hint="eastAsia" w:eastAsia="仿宋" w:cs="Times New Roman"/>
          <w:lang w:val="en-US" w:eastAsia="zh-CN"/>
        </w:rPr>
        <w:t>1</w:t>
      </w:r>
      <w:r>
        <w:rPr>
          <w:rFonts w:hint="default" w:ascii="Times New Roman" w:hAnsi="Times New Roman" w:eastAsia="仿宋" w:cs="Times New Roman"/>
        </w:rPr>
        <w:t>台，共计0.</w:t>
      </w:r>
      <w:r>
        <w:rPr>
          <w:rFonts w:hint="eastAsia" w:eastAsia="仿宋" w:cs="Times New Roman"/>
          <w:lang w:val="en-US" w:eastAsia="zh-CN"/>
        </w:rPr>
        <w:t>3</w:t>
      </w:r>
      <w:r>
        <w:rPr>
          <w:rFonts w:hint="default" w:ascii="Times New Roman" w:hAnsi="Times New Roman" w:eastAsia="仿宋" w:cs="Times New Roman"/>
        </w:rPr>
        <w:t>万元。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eastAsia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</w:rPr>
        <w:t>（</w:t>
      </w:r>
      <w:r>
        <w:rPr>
          <w:rFonts w:hint="eastAsia" w:eastAsia="仿宋" w:cs="Times New Roman"/>
          <w:lang w:val="en-US" w:eastAsia="zh-CN"/>
        </w:rPr>
        <w:t>3</w:t>
      </w:r>
      <w:r>
        <w:rPr>
          <w:rFonts w:hint="default" w:ascii="Times New Roman" w:hAnsi="Times New Roman" w:eastAsia="仿宋" w:cs="Times New Roman"/>
        </w:rPr>
        <w:t>）</w:t>
      </w:r>
      <w:r>
        <w:rPr>
          <w:rFonts w:hint="eastAsia" w:eastAsia="仿宋" w:cs="Times New Roman"/>
          <w:lang w:eastAsia="zh-CN"/>
        </w:rPr>
        <w:t>更换报废设备</w:t>
      </w:r>
      <w:r>
        <w:rPr>
          <w:rFonts w:hint="eastAsia" w:eastAsia="仿宋" w:cs="Times New Roman"/>
          <w:lang w:val="en-US" w:eastAsia="zh-CN"/>
        </w:rPr>
        <w:t>：空调1台，</w:t>
      </w:r>
      <w:r>
        <w:rPr>
          <w:rFonts w:hint="default" w:ascii="Times New Roman" w:hAnsi="Times New Roman" w:eastAsia="仿宋" w:cs="Times New Roman"/>
        </w:rPr>
        <w:t>共计</w:t>
      </w:r>
      <w:r>
        <w:rPr>
          <w:rFonts w:hint="eastAsia" w:eastAsia="仿宋" w:cs="Times New Roman"/>
          <w:lang w:val="en-US" w:eastAsia="zh-CN"/>
        </w:rPr>
        <w:t>0.64万元。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七、国有资产占用情况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0" w:firstLineChars="0"/>
        <w:rPr>
          <w:rFonts w:hint="eastAsia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 xml:space="preserve">   本单位无房无车固定资产只有办公设备50件原值19.82万元，办公家具用具152件原值7.80万元。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0" w:firstLineChars="0"/>
        <w:rPr>
          <w:rFonts w:hint="eastAsia" w:eastAsia="仿宋" w:cs="Times New Roman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八、重点项目预算绩效情况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right="0"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预算绩效情况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为提高工作效率，优化服务工作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的质量。加强对工作人员的业务培训，加强对工作程序、工作行为的监督把关，确保认定结论的准确性。确保认定结论的公正性。按照服务司法、服务政府、服务社会、服务系统的要求，积极开展好涉案财物价格认定，积极做好对下一级认定机构结论有异议的价格认定结论复核；积极做好调解价格矛盾、处理价格纠纷、提供价格公共服务做好各项工作制定预算绩效情况，详情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其他相关情况说明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Chars="200" w:right="0" w:rightChars="0"/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eastAsia="黑体" w:cs="Times New Roman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对空表的说明</w:t>
      </w:r>
    </w:p>
    <w:p>
      <w:pPr>
        <w:snapToGrid w:val="0"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1、</w:t>
      </w:r>
      <w:r>
        <w:rPr>
          <w:rFonts w:eastAsia="仿宋"/>
          <w:sz w:val="32"/>
          <w:szCs w:val="32"/>
        </w:rPr>
        <w:t>本部门无政府性基金预算。</w:t>
      </w:r>
    </w:p>
    <w:tbl>
      <w:tblPr>
        <w:tblStyle w:val="7"/>
        <w:tblW w:w="8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697"/>
        <w:gridCol w:w="876"/>
        <w:gridCol w:w="1697"/>
        <w:gridCol w:w="20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政府性基金预算收入表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部门/单位：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科目名称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本年政府性基金预算收入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基本收入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320" w:firstLineChars="60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</w:tbl>
    <w:p>
      <w:pPr>
        <w:snapToGrid w:val="0"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</w:p>
    <w:tbl>
      <w:tblPr>
        <w:tblStyle w:val="7"/>
        <w:tblW w:w="8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697"/>
        <w:gridCol w:w="876"/>
        <w:gridCol w:w="1697"/>
        <w:gridCol w:w="20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政府性基金预算支出表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部门/单位：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科目名称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本年政府性基金预算支出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320" w:firstLineChars="60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</w:tbl>
    <w:p>
      <w:pPr>
        <w:snapToGrid w:val="0"/>
        <w:spacing w:line="560" w:lineRule="exact"/>
        <w:jc w:val="left"/>
        <w:rPr>
          <w:rFonts w:eastAsia="黑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2、</w:t>
      </w:r>
      <w:r>
        <w:rPr>
          <w:rFonts w:eastAsia="仿宋"/>
          <w:sz w:val="32"/>
          <w:szCs w:val="32"/>
        </w:rPr>
        <w:t>本部门无国有资本经营预算。</w:t>
      </w:r>
    </w:p>
    <w:tbl>
      <w:tblPr>
        <w:tblStyle w:val="7"/>
        <w:tblW w:w="8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697"/>
        <w:gridCol w:w="876"/>
        <w:gridCol w:w="1697"/>
        <w:gridCol w:w="20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国有资本经营预算拨款收入表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部门/单位：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科目名称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本年国有资本经营预算拨款收入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基本收入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项目收入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国有资本经营预算拨款支出表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部门/单位：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科目名称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本年国有资本经营预算拨款支出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Chars="200" w:right="0" w:rightChars="0"/>
        <w:jc w:val="left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3" w:firstLineChars="200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政府债务情况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eastAsia" w:eastAsia="仿宋" w:cs="Times New Roman"/>
          <w:lang w:eastAsia="zh-CN"/>
        </w:rPr>
        <w:t>本单位</w:t>
      </w:r>
      <w:r>
        <w:rPr>
          <w:rFonts w:hint="default" w:ascii="Times New Roman" w:hAnsi="Times New Roman" w:eastAsia="仿宋" w:cs="Times New Roman"/>
        </w:rPr>
        <w:t>无政府债务。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0" w:firstLineChars="0"/>
        <w:rPr>
          <w:rFonts w:hint="default" w:ascii="Times New Roman" w:hAnsi="Times New Roman" w:eastAsia="仿宋" w:cs="Times New Roman"/>
        </w:rPr>
      </w:pPr>
    </w:p>
    <w:tbl>
      <w:tblPr>
        <w:tblStyle w:val="7"/>
        <w:tblW w:w="8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697"/>
        <w:gridCol w:w="876"/>
        <w:gridCol w:w="1697"/>
        <w:gridCol w:w="20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政府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债务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部门/单位：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本年政府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（二）对其他情况的说明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840" w:firstLineChars="3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本单位2025年无其他情况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第三部分  202</w:t>
      </w:r>
      <w:r>
        <w:rPr>
          <w:rFonts w:hint="eastAsia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年部门预算公开表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（见附件）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名词解释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一、收入科目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财政拨款收入：指市级财政当年拨付的资金。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其他收入：指除“财政拨款收入”“事业收入”“事业单位经营收入”等以外的收入,包括存款利息收入等。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二、支出科目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发展与改革事务(20104款)：反映发展与改革事务方面的支出。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事业运行（2010450项）：反映事业单位的基本支出。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事业单位基本养老保险缴费支出（2080505项）：反映事业单位实施养老保险制度由单位缴纳的基本养老保险费支出。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事业单位医疗支出反映事业单位医疗保障缴费支出。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公积金缴费反映单位缴纳的住房公积金支出。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三、“三公”经费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因公出国（境）费：反映单位公务出国（境）的国际旅费、国外城市间交通费、住宿费、伙食费、培训费、公杂费等支出。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公务接待费：反映单位按规定开支的各类公务接待（含外宾接待）费用。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beforeAutospacing="0" w:afterAutospacing="0" w:line="560" w:lineRule="exact"/>
        <w:ind w:left="0" w:leftChars="0" w:right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公务用车运行维护费：反映单位按规定保留的公务用车燃料费、维修费、过桥过路费、保险费等支出。</w:t>
      </w:r>
    </w:p>
    <w:sectPr>
      <w:pgSz w:w="11906" w:h="16838"/>
      <w:pgMar w:top="1701" w:right="1701" w:bottom="1701" w:left="1701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6339E0"/>
    <w:multiLevelType w:val="singleLevel"/>
    <w:tmpl w:val="5B6339E0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DE9"/>
    <w:rsid w:val="000A3FA3"/>
    <w:rsid w:val="00150697"/>
    <w:rsid w:val="001A4FFE"/>
    <w:rsid w:val="002C5FC7"/>
    <w:rsid w:val="003C43FB"/>
    <w:rsid w:val="004D7AA2"/>
    <w:rsid w:val="004F6AFE"/>
    <w:rsid w:val="00574E1E"/>
    <w:rsid w:val="00586A33"/>
    <w:rsid w:val="00807E94"/>
    <w:rsid w:val="00874498"/>
    <w:rsid w:val="00A55379"/>
    <w:rsid w:val="00C85A55"/>
    <w:rsid w:val="00CB267E"/>
    <w:rsid w:val="00CC2C07"/>
    <w:rsid w:val="00FD1DE9"/>
    <w:rsid w:val="02103502"/>
    <w:rsid w:val="024549B2"/>
    <w:rsid w:val="03F52A39"/>
    <w:rsid w:val="05842FC7"/>
    <w:rsid w:val="0AE44B6D"/>
    <w:rsid w:val="0F917514"/>
    <w:rsid w:val="10C262F3"/>
    <w:rsid w:val="117D36ED"/>
    <w:rsid w:val="1BD96F03"/>
    <w:rsid w:val="1DD317FE"/>
    <w:rsid w:val="1F8D324C"/>
    <w:rsid w:val="221C0ADA"/>
    <w:rsid w:val="22687019"/>
    <w:rsid w:val="229244DD"/>
    <w:rsid w:val="25EE6E85"/>
    <w:rsid w:val="270D323E"/>
    <w:rsid w:val="27F445E0"/>
    <w:rsid w:val="2ACA4643"/>
    <w:rsid w:val="2E35753D"/>
    <w:rsid w:val="2E977427"/>
    <w:rsid w:val="31517042"/>
    <w:rsid w:val="34D86B0F"/>
    <w:rsid w:val="35C86E21"/>
    <w:rsid w:val="364253B8"/>
    <w:rsid w:val="378100C4"/>
    <w:rsid w:val="398172E1"/>
    <w:rsid w:val="3B812531"/>
    <w:rsid w:val="3CAB28A5"/>
    <w:rsid w:val="3E700008"/>
    <w:rsid w:val="3E706BFD"/>
    <w:rsid w:val="3F397CC7"/>
    <w:rsid w:val="3FFE5E99"/>
    <w:rsid w:val="41094136"/>
    <w:rsid w:val="435A1C4C"/>
    <w:rsid w:val="43D4561C"/>
    <w:rsid w:val="445A3B32"/>
    <w:rsid w:val="449F5989"/>
    <w:rsid w:val="45885A62"/>
    <w:rsid w:val="47D93676"/>
    <w:rsid w:val="49D045F3"/>
    <w:rsid w:val="4CC9320D"/>
    <w:rsid w:val="4E1338A3"/>
    <w:rsid w:val="4F615CE9"/>
    <w:rsid w:val="4FA55F82"/>
    <w:rsid w:val="4FBB51EC"/>
    <w:rsid w:val="50D05A22"/>
    <w:rsid w:val="52C466FA"/>
    <w:rsid w:val="530D29F6"/>
    <w:rsid w:val="5DE41F25"/>
    <w:rsid w:val="5F13006B"/>
    <w:rsid w:val="5F9151B8"/>
    <w:rsid w:val="63003844"/>
    <w:rsid w:val="65733E90"/>
    <w:rsid w:val="65CE2D45"/>
    <w:rsid w:val="66712753"/>
    <w:rsid w:val="67D17BDB"/>
    <w:rsid w:val="68A4426F"/>
    <w:rsid w:val="69FB07EF"/>
    <w:rsid w:val="6DEE0F5A"/>
    <w:rsid w:val="6ED0314F"/>
    <w:rsid w:val="6FF35E29"/>
    <w:rsid w:val="6FFFEF25"/>
    <w:rsid w:val="704A5BFA"/>
    <w:rsid w:val="707F7B9A"/>
    <w:rsid w:val="71A01F4A"/>
    <w:rsid w:val="73E93D42"/>
    <w:rsid w:val="74747F27"/>
    <w:rsid w:val="74B8758E"/>
    <w:rsid w:val="7B6F30E0"/>
    <w:rsid w:val="7CC040BD"/>
    <w:rsid w:val="7D7378FD"/>
    <w:rsid w:val="7DE9731E"/>
    <w:rsid w:val="7F106E39"/>
    <w:rsid w:val="EEABE918"/>
    <w:rsid w:val="FDCFF0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next w:val="1"/>
    <w:link w:val="12"/>
    <w:unhideWhenUsed/>
    <w:qFormat/>
    <w:uiPriority w:val="99"/>
    <w:pPr>
      <w:spacing w:before="100" w:beforeAutospacing="1" w:after="100" w:afterAutospacing="1" w:line="600" w:lineRule="exact"/>
      <w:ind w:left="640" w:firstLine="640" w:firstLineChars="200"/>
    </w:p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正文1"/>
    <w:basedOn w:val="1"/>
    <w:qFormat/>
    <w:uiPriority w:val="0"/>
    <w:pPr>
      <w:widowControl/>
    </w:pPr>
    <w:rPr>
      <w:rFonts w:eastAsia="Times New Roman"/>
      <w:kern w:val="0"/>
      <w:szCs w:val="20"/>
      <w:lang w:val="zh-CN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正文缩进 + 首行缩进:  2 字符"/>
    <w:basedOn w:val="1"/>
    <w:qFormat/>
    <w:uiPriority w:val="0"/>
    <w:pPr>
      <w:spacing w:line="560" w:lineRule="exact"/>
      <w:ind w:firstLine="640"/>
    </w:pPr>
    <w:rPr>
      <w:rFonts w:eastAsia="仿宋_GB2312" w:cs="宋体"/>
      <w:sz w:val="32"/>
      <w:szCs w:val="32"/>
    </w:rPr>
  </w:style>
  <w:style w:type="character" w:customStyle="1" w:styleId="11">
    <w:name w:val="正文文本缩进 Char"/>
    <w:basedOn w:val="6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2">
    <w:name w:val="正文首行缩进 2 Char"/>
    <w:basedOn w:val="11"/>
    <w:link w:val="4"/>
    <w:qFormat/>
    <w:uiPriority w:val="99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532</Words>
  <Characters>3034</Characters>
  <Lines>25</Lines>
  <Paragraphs>7</Paragraphs>
  <TotalTime>1</TotalTime>
  <ScaleCrop>false</ScaleCrop>
  <LinksUpToDate>false</LinksUpToDate>
  <CharactersWithSpaces>3559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2021-01-26T07:07:00Z</dcterms:created>
  <dc:creator>HP</dc:creator>
  <cp:lastModifiedBy>亮亮</cp:lastModifiedBy>
  <cp:lastPrinted>2024-01-23T15:46:00Z</cp:lastPrinted>
  <dcterms:modified xsi:type="dcterms:W3CDTF">2025-03-19T03:43:38Z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D29877433BF5C732D2E9B267E598A0C4_42</vt:lpwstr>
  </property>
</Properties>
</file>