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襄阳市推动大规模设备更新和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消费品以旧换新实施方案</w:t>
      </w:r>
    </w:p>
    <w:p>
      <w:pPr>
        <w:pStyle w:val="2"/>
        <w:ind w:left="0" w:leftChars="0" w:firstLine="0"/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FFFFFF"/>
          <w:lang w:eastAsia="zh-CN"/>
        </w:rPr>
        <w:t>为贯彻落实《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FFFFFF"/>
          <w:lang w:val="en-US" w:eastAsia="zh-CN"/>
        </w:rPr>
        <w:t>国务院关于印发&lt;推动大规模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FFFFFF"/>
          <w:lang w:val="en-US" w:eastAsia="zh-CN"/>
        </w:rPr>
        <w:t>设备更新和消费品以旧换新行动方案&gt;的通知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FFFFFF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FFFFFF"/>
          <w:lang w:val="en-US" w:eastAsia="zh-CN"/>
        </w:rPr>
        <w:t>（国发〔2024〕7号）、《湖北省人民政府办公厅关于印发&lt;湖北省推动大规模设备更新和消费品以旧换新行动方案&gt;的通知》（鄂政办发〔2024〕18号）文件精神</w:t>
      </w:r>
      <w:r>
        <w:rPr>
          <w:rFonts w:hint="eastAsia" w:ascii="仿宋_GB2312" w:hAnsi="仿宋_GB2312" w:eastAsia="仿宋_GB2312" w:cs="仿宋_GB2312"/>
          <w:sz w:val="32"/>
          <w:szCs w:val="40"/>
          <w:highlight w:val="none"/>
          <w:lang w:eastAsia="zh-CN"/>
        </w:rPr>
        <w:t>，结合我市实际，制定本方案。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40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40"/>
          <w:highlight w:val="none"/>
          <w:lang w:eastAsia="zh-CN"/>
        </w:rPr>
        <w:t>一、工作目标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highlight w:val="none"/>
          <w:lang w:eastAsia="zh-CN"/>
        </w:rPr>
        <w:t>坚持市场为主、政府引导、全面推进、重点突破，推动我市大规模设备更新和消费品以旧换新，扩大有效益的投资和有潜力的消费，扎实推动经济绿色化转型和高质量发展，加速形成新质生产力。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highlight w:val="none"/>
          <w:lang w:val="en-US" w:eastAsia="zh-CN"/>
        </w:rPr>
        <w:t>到2024年，全市工业、建筑、交通、农业、教育、文旅、医疗、水利等重点领域(以下简称八大领域）设备投资增长9%；规模以上工业企业数字化研发设计工具普及率、关键工序数控化率分别超过85%、65%；报废汽车回收量增长40%，二手车交易量增长15%；废旧家电回收量增长15%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highlight w:val="none"/>
          <w:lang w:val="en-US" w:eastAsia="zh-CN"/>
        </w:rPr>
        <w:t>到2027年，全市八大领域设备投资较2023年增长28%以上；重点行业主要用能设备能效基本达到节能水平，环保绩效达到A级水平的产能比例大幅提升；规模以上工业企业数字化研究设计工具普及率、关键工序数控化率分别超过90%、75%；报废汽车回收量较2023年增加一倍，二手车交易量较2023年增长45%；废旧家电回收量较2023年增长30%；再生材料在资源供给中的占比进一步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40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40"/>
          <w:highlight w:val="none"/>
          <w:lang w:eastAsia="zh-CN"/>
        </w:rPr>
        <w:t>二、推动多领域设备更新改造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highlight w:val="none"/>
          <w:lang w:val="en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40"/>
          <w:highlight w:val="none"/>
          <w:lang w:eastAsia="zh-CN"/>
        </w:rPr>
        <w:t>（一）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  <w:t>推进工业重点行业设备更新改造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40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40"/>
          <w:highlight w:val="none"/>
          <w:lang w:val="en-US" w:eastAsia="zh-CN" w:bidi="ar-SA"/>
        </w:rPr>
        <w:t>加快智能制造设备推广，不断提升生产设备和生产过程智能化水平。聚焦钢铁、化工、建材、有色、矿山、纺织、电子、电力、机械等重点行业，实施重大技改突破行动，推动生产设备、用能设备、环保设备、发输配电设备等更新和技术改造。分行业分领域实施节能降碳改造，加快构建绿色制造体系。严格落实能效、环保、安全等强制性标准和设备淘汰目录要求，依法依规淘汰不达标设备。鼓励有条件的企业以购买绿电等方式开展设备更新。到2024年全市工业技改投资增长10%以上，工业技改投资占全市工业投资比重超过40%。每年建设5家省级5G工厂、新增上云企业30家。力争到2027年，全市工业技改投资规模较2023年增长30%以上，工业技改投资占全市工业投资比重超过45%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40"/>
          <w:highlight w:val="none"/>
          <w:lang w:val="en-US" w:eastAsia="zh-CN" w:bidi="ar-SA"/>
        </w:rPr>
        <w:t>〔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eastAsia="zh-CN"/>
        </w:rPr>
        <w:t>牵头单位：市经信局；责任单位：市发改委、市生态环境局、市应急管理局，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各县（市、区）人民政府、开发区管委会。以下均需要各县（市、区）人民政府、开发区管委会落实，不再列出〕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40"/>
          <w:highlight w:val="none"/>
          <w:lang w:eastAsia="zh-CN"/>
        </w:rPr>
        <w:t>（二）加快建筑和市政基础设施设备更新。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40"/>
          <w:highlight w:val="none"/>
          <w:lang w:val="en-US" w:eastAsia="zh-CN" w:bidi="ar-SA"/>
        </w:rPr>
        <w:t>推进既有住宅加装电梯，鼓励运行时间长、故障率高、群众更换意愿强烈的住宅电梯更新改造。统筹推进既有建筑节能和绿色化改造，实施外墙、屋面和窗户等围护结构的保温、隔热改造升级，加快绿色建材推广应用。淘汰更新高污染、老化磨损严重、技术落后的建筑施工工程机械设备。持续推进供热、燃气等设施设备更新改造。加快加压取水设施、公共供水厂及加压调蓄供水设施、居民二次供水设施升级改造。加快推动城镇污水处理、垃圾处理、环卫车辆等市政基础设施设备更新改造。实施城市生命线安全工程，因地制宜推动完善配套物联智能感知设备。有序推动重点公共区域和道路视频监控等安防设备改造。到2024年，累计完成老旧燃气管道更新改造200公里。力争到2027年，累计更新和加装电梯1000台，更新改造供水设施400套，累计实施老旧污水管网更新400公里，安装城市生命线安全监测物联传感设备2.5万套，更新改造建筑施工设备900台，改造节能建筑面积190万平方米以上，更新垃圾转运设施100台（套），更新环卫车辆320辆。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（牵头单位：市住房和城市更新局、市城管委）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  <w:t>（三）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</w:rPr>
        <w:t>推动交通运输设备转型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40"/>
          <w:highlight w:val="none"/>
          <w:shd w:val="clear" w:color="auto" w:fill="auto"/>
          <w:lang w:val="en-US" w:eastAsia="zh-CN" w:bidi="ar-SA"/>
        </w:rPr>
        <w:t>新增公交车辆实现新能源、清洁能源全替代，持续推进老旧新能源公交车和动力电池更新换代。力争到2027年，城市公交新能源比例达到85%。加快淘汰国三及以下排放标准营运柴油货车，到2024年淘汰200辆，2026年全面完成淘汰工作。支持铁路运输、交通桥梁等设施设备更新。鼓励码头岸电设施改造和船舶受电设施安装，逐步扩大电动、LNG、氢能等新能源船舶应用，依法推进高耗能高排放老旧船舶报废更新。力争到2027年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40"/>
          <w:highlight w:val="none"/>
          <w:shd w:val="clear" w:color="auto" w:fill="auto"/>
        </w:rPr>
        <w:t>累计淘汰老旧燃油船舶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40"/>
          <w:highlight w:val="none"/>
          <w:shd w:val="clear" w:color="auto" w:fill="auto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40"/>
          <w:highlight w:val="none"/>
          <w:shd w:val="clear" w:color="auto" w:fill="auto"/>
        </w:rPr>
        <w:t>艘以上。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（牵头单位：市交通运输局</w:t>
      </w:r>
      <w:r>
        <w:rPr>
          <w:rFonts w:hint="eastAsia" w:ascii="楷体_GB2312" w:hAnsi="楷体_GB2312" w:eastAsia="楷体_GB2312" w:cs="楷体_GB2312"/>
          <w:color w:val="auto"/>
          <w:sz w:val="32"/>
          <w:szCs w:val="40"/>
          <w:highlight w:val="none"/>
          <w:lang w:val="en-US" w:eastAsia="zh-CN"/>
        </w:rPr>
        <w:t>；责任单位：市发改委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sz w:val="32"/>
          <w:szCs w:val="4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  <w:t>（四）推进农业机械及设施设备更新。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40"/>
          <w:highlight w:val="none"/>
          <w:shd w:val="clear" w:color="auto" w:fill="auto"/>
          <w:lang w:val="en-US" w:eastAsia="zh-CN" w:bidi="ar-SA"/>
        </w:rPr>
        <w:t>推进耗能高、污染重、作业损失大、安全性能低的老旧农业机械报废更新，落实农机报废更新补贴政策。积极推进粮油、渔业、畜牧业、果蔬生产等农业领域设施设备更新，力争到2027年全市累计报废老旧农机1万台（套），农作物耕种收综合机械化率90%。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（牵头单位：市农业农村局）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  <w:t>（五）提升教育设施水平。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40"/>
          <w:highlight w:val="none"/>
          <w:shd w:val="clear" w:color="auto" w:fill="auto"/>
          <w:lang w:val="en-US" w:eastAsia="zh-CN" w:bidi="ar-SA"/>
        </w:rPr>
        <w:t>支持高校、职业院校更新多媒体讲台、电教平台等教学设备，大力推动科研仪器设备更新。加强教育数字化领域设备更新，积极引导人工智能赋能教育现代化。严格落实学科教学装备配置标准，保质保量配置并及时更新教学仪器设备。力争到2027年更新教学设备5万台（套）。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（牵头单位：市教育局）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highlight w:val="none"/>
          <w:shd w:val="clear" w:color="auto" w:fill="auto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  <w:t>（六）推动文旅设备升级。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推动游览设施、游乐设备、演艺设备等文旅设备更新提升。推动我市A级旅游景区、旅游度假区、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乡村旅游重点镇（村）的旅游观光及主题公园、游乐园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环境基础设施建设改造。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支持文化馆、博物馆、非遗馆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、图书馆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公共文化场所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演艺设备更新，支持文旅数字化设备更新。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力争到2027年更新游览设施、游乐设备、演艺设备和文旅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数字化设备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350台（套）。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shd w:val="clear" w:color="auto" w:fill="auto"/>
          <w:lang w:val="en-US" w:eastAsia="zh-CN"/>
        </w:rPr>
        <w:t>（牵头单位：市文旅局）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  <w:t>（七）强化医疗设备改造。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推进医疗机构装备和信息化设施迭代升级，鼓励具备条件的医疗机构加快医学影像、放射治疗、远程诊疗、手术机器人等医疗装备更新改造。推动医疗卫生机构病房改造提升，补齐病房环境与设施短板。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力争到2027年，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每年更新CT、核磁共振、DR、彩超、直线加速器等设备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40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（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），改造病床1200个。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（牵头单位：市卫健委）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sz w:val="32"/>
          <w:szCs w:val="4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  <w:t>（八）推进水利设施设备更新。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围绕推进流域综合治理和提升水安全保障能力，重点推进涵闸、泵站等两大类水利工程设施设备更新改造。力争2027年，完成93处涵闸和20座泵站的建设或更新改造。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(牵头单位：市水利和湖泊局）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开展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消费品以旧换新行动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60"/>
        <w:jc w:val="both"/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40"/>
          <w:highlight w:val="none"/>
          <w:lang w:val="en-US" w:eastAsia="zh-CN"/>
        </w:rPr>
        <w:t>（一）推进汽车以旧换新。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强化政策引导，组织开展汽车以旧换新活动，鼓励汽车生产、经销企业通过开展促销活动、发放换新补贴、赠送充电桩等形式提供购车优惠让利，促进汽车更新消费。推进充换电设施有序建设，加快城市充电网络建设，确保新建小区固定车位100％建设充电桩或者预留安装条件，加快建成全市农村充电网络节点架构，全面提升农村公共充电服务水平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2024年全市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汽车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以旧换新销售4000辆。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支持老旧、存在安全隐患的电动自行车报废更新。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（牵头单位：市商务局；责任单位：市应急管理局、市发改委、市住房和城市更新局、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eastAsia="zh-CN"/>
        </w:rPr>
        <w:t>市自然资源和城乡建设局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default" w:ascii="方正楷体_GBK" w:hAnsi="方正楷体_GBK" w:eastAsia="方正楷体_GBK" w:cs="方正楷体_GBK"/>
          <w:sz w:val="32"/>
          <w:szCs w:val="4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40"/>
          <w:highlight w:val="none"/>
          <w:lang w:val="en-US" w:eastAsia="zh-CN"/>
        </w:rPr>
        <w:t>（二）开展家电产品以旧换新。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鼓励家电生产、销售、回收等企业联合开展家电以旧换新促销活动，开设线上线下活动专区，对以旧家电换购节能家电的消费者给予优惠。实施家电售后服务提升行动，完善家电销售服务网络。到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2024年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全市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家电以旧换新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10万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（套）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（牵头单位：市商务局）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40"/>
          <w:highlight w:val="none"/>
          <w:lang w:val="en-US" w:eastAsia="zh-CN"/>
        </w:rPr>
        <w:t>（三）开展家装厨卫消费品以旧换新。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鼓励有条件的地方支持居民开展旧房装修、厨卫局部改造和适老化改造。引导企业围绕智慧厨房、卫浴、家庭安防、养老监护等生活场景生产绿色智能家居产品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。到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2024年，推进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2000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户居民开展居家适老化改造。鼓励企业进行绿色建材产品认证，全面开展绿色建材下乡活动，推出线上线下家装样板间，到2025年全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城镇新建建筑绿色建材应用比例达50％。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（牵头单位：市商务局；责任单位：市民政局、市住房和城市更新局、市经信局）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四、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开展全链条废弃物循环利用行动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40"/>
          <w:highlight w:val="none"/>
          <w:lang w:val="en-US" w:eastAsia="zh-CN"/>
        </w:rPr>
        <w:t>（一）持续完善废旧物资回收网络。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完善家电回收网络。畅通家电更新消费循环，对符合条件的家电回收企业实际回收洗衣机、冰箱、电视机、空调等废旧家电分类给予补贴。借助市属国有平台作用，结合现有回收网络体系建设优势，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探索建设市级拆解加工再利用基地，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持续完善“农村固体废弃物回收网点、供销社体系网点”的再生资源回收体系。优化报废汽车回收拆解企业布局，推动报废汽车拆解企业规模化发展。完善行政事业单位办公设备回收处理渠道，推行“公物仓”。力争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2027年全市全年家电回收量达到78万台（套），报废汽车达到1.6万辆。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（牵头单位：市商务局；责任单位：市农业农村局、市供销社、市国资委、市机关事务服务中心）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40"/>
          <w:highlight w:val="none"/>
          <w:lang w:val="en-US" w:eastAsia="zh-CN"/>
        </w:rPr>
        <w:t>（二）推动二手商品有序流通交易。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40"/>
          <w:highlight w:val="none"/>
          <w:shd w:val="clear" w:color="auto" w:fill="auto"/>
          <w:lang w:eastAsia="zh-CN"/>
        </w:rPr>
        <w:t>推动二手商品交易规范化，防范泄露及恶意恢复用户信息。推动二手商品交易平台企业建立健全平台内经销企业、用户的评价机制，加强信用记录、违法失信行为等信息共享。推广“互联网+二手”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40"/>
          <w:highlight w:val="none"/>
          <w:shd w:val="clear" w:color="auto" w:fill="auto"/>
          <w:lang w:val="en-US" w:eastAsia="zh-CN"/>
        </w:rPr>
        <w:t>“换新＋回收”“线上＋线下”销售模式，发展壮大二手汽车、电子产品、家电等平台经济。利用新媒体及电商平台，推动政策红利直达消费者。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40"/>
          <w:highlight w:val="none"/>
          <w:shd w:val="clear" w:color="auto" w:fill="auto"/>
          <w:lang w:eastAsia="zh-CN"/>
        </w:rPr>
        <w:t>落实二手车销售、资源回收企业“反向开票”政策。培育壮大一批二手车龙头企业，推动新车、二手车业务一体化运营发展，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40"/>
          <w:highlight w:val="none"/>
          <w:shd w:val="clear" w:color="auto" w:fill="auto"/>
          <w:lang w:val="en-US" w:eastAsia="zh-CN"/>
        </w:rPr>
        <w:t>加大二手车出口主体培育力度。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40"/>
          <w:highlight w:val="none"/>
          <w:shd w:val="clear" w:color="auto" w:fill="auto"/>
          <w:lang w:eastAsia="zh-CN"/>
        </w:rPr>
        <w:t>力争到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121"/>
          <w:spacing w:val="0"/>
          <w:sz w:val="32"/>
          <w:szCs w:val="40"/>
          <w:highlight w:val="none"/>
          <w:shd w:val="clear" w:color="auto" w:fill="auto"/>
          <w:lang w:val="en-US" w:eastAsia="zh-CN"/>
        </w:rPr>
        <w:t>2027年全市全年二手汽车交易超8.4万辆。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（牵头单位：市商务局；责任单位：市市场监管局、市供销社）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40"/>
          <w:highlight w:val="none"/>
          <w:lang w:val="en-US" w:eastAsia="zh-CN"/>
        </w:rPr>
        <w:t>（三）提升资源加工利用再制造水平。</w:t>
      </w:r>
      <w:r>
        <w:rPr>
          <w:rFonts w:hint="eastAsia" w:ascii="仿宋_GB2312" w:hAnsi="仿宋_GB2312" w:eastAsia="仿宋_GB2312" w:cs="仿宋_GB2312"/>
          <w:sz w:val="32"/>
          <w:szCs w:val="40"/>
          <w:highlight w:val="none"/>
          <w:lang w:val="en-US" w:eastAsia="zh-CN"/>
        </w:rPr>
        <w:t>支持老河口、谷城等循环经济产业园区，依托龙头企业，着力打造区域性动力电池、光伏组件、废钢铁、废铜铝、废塑料、风力发电设备机组等再生资源深加工产业集群，支持企业工艺设备提质改造。指导企业积极申创省级“无废企业”、国家级“绿色工厂”。力争到2027年累计建成国家级绿色工厂35家、省级绿色工厂60家。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（牵头单位：市经信局；责任单位：市发改委、市供销社）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40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  <w:highlight w:val="none"/>
          <w:lang w:val="en-US" w:eastAsia="zh-CN"/>
        </w:rPr>
        <w:t>五、开展标准提升行动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rPr>
          <w:rFonts w:hint="eastAsia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40"/>
          <w:highlight w:val="none"/>
          <w:lang w:val="en-US" w:eastAsia="zh-CN"/>
        </w:rPr>
        <w:t>（一）优化地方标准供给。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开辟立项、发布绿色通道,围绕重点产业链升级需求、新兴消费市场壮大需求和行政主管部门管理需求，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高端装备制造、安全生产、政务服务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等领域立项发布地方标准，引导设备更新，促进消费品换新换代，引领产业升级。力争到2027年发布地方标准40项。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（牵头</w:t>
      </w: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40"/>
          <w:highlight w:val="none"/>
          <w:lang w:val="en-US" w:eastAsia="zh-CN" w:bidi="ar-SA"/>
        </w:rPr>
        <w:t>单位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：市市场监管局）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40"/>
          <w:highlight w:val="none"/>
          <w:lang w:val="en-US" w:eastAsia="zh-CN"/>
        </w:rPr>
        <w:t>（二）强化国际国内标准衔接。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严格执行产品、设备相关的能耗、排放、技术等国家、行业标准要求。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鼓励和推动重点企业、高校、科研院所等广泛参与国际国内标准化活动,积极争取主导、参与国际国内标准制修订。力争到2027年参与国际标准、国家标准制修订25项。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(牵头单位：市市场监管局）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rPr>
          <w:rFonts w:hint="eastAsia" w:ascii="楷体_GB2312" w:hAnsi="楷体_GB2312" w:eastAsia="楷体_GB2312" w:cs="楷体_GB2312"/>
          <w:sz w:val="32"/>
          <w:szCs w:val="40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40"/>
          <w:highlight w:val="none"/>
          <w:lang w:val="en-US" w:eastAsia="zh-CN"/>
        </w:rPr>
        <w:t>（三）引导企业标准化升级。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指导和促进企业实行技术和标准融合创新,加快科技创新成果转化为新质生产力。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鼓励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我市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优势产业领军企业积极申报标准领跑者，培育标准创新型企业。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树立以标准引领高质量发展的先导型、创新型行业标杆,引领产品服务质量水平整体提升。力争到2027年培育中、高级标准创新型企业30家。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eastAsia="zh-CN"/>
        </w:rPr>
        <w:t>（牵头单位：市市场监管局）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40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highlight w:val="none"/>
          <w:lang w:val="en-US" w:eastAsia="zh-CN"/>
        </w:rPr>
        <w:t>六、实施供给提升行动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方正楷体_GBK" w:hAnsi="方正楷体_GBK" w:eastAsia="方正楷体_GBK" w:cs="方正楷体_GBK"/>
          <w:sz w:val="32"/>
          <w:szCs w:val="4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40"/>
          <w:highlight w:val="none"/>
          <w:lang w:val="en-US" w:eastAsia="zh-CN"/>
        </w:rPr>
        <w:t>（一）</w:t>
      </w:r>
      <w:r>
        <w:rPr>
          <w:rFonts w:hint="eastAsia" w:ascii="楷体_GB2312" w:hAnsi="楷体_GB2312" w:eastAsia="楷体_GB2312" w:cs="楷体_GB2312"/>
          <w:b w:val="0"/>
          <w:bCs w:val="0"/>
          <w:spacing w:val="12"/>
          <w:sz w:val="32"/>
          <w:highlight w:val="none"/>
          <w:lang w:eastAsia="zh-CN"/>
        </w:rPr>
        <w:t>依托供应链提升</w:t>
      </w:r>
      <w:r>
        <w:rPr>
          <w:rFonts w:hint="eastAsia" w:ascii="楷体_GB2312" w:hAnsi="楷体_GB2312" w:eastAsia="楷体_GB2312" w:cs="楷体_GB2312"/>
          <w:b w:val="0"/>
          <w:bCs w:val="0"/>
          <w:spacing w:val="12"/>
          <w:sz w:val="32"/>
          <w:highlight w:val="none"/>
        </w:rPr>
        <w:t>供给能力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40"/>
          <w:highlight w:val="none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依托长江汽车供应链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、光电子信息供应链、九州医药供应链、长江船舶供应链等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供应链体系加强供需对接，通过平台集采等降低企业设备采购成本，支持做好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重点领域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设备供需交易。结合“十百万”供需对接工程，加大宣传推介，积极支持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襄阳生产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设备参与国家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和省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设备更新。建立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襄阳生产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设备供给清单、“两新”需求清单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实施市场主体培育工程，力争到2027年，培育专精特新企业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500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、高新技术企业2500家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（牵头单位：市经信局、市商务局、市发改委；责任单位：市科技局、市国资委）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8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pacing w:val="12"/>
          <w:sz w:val="32"/>
          <w:highlight w:val="none"/>
          <w:lang w:val="en-US" w:eastAsia="zh-CN"/>
        </w:rPr>
        <w:t>（二）</w:t>
      </w:r>
      <w:r>
        <w:rPr>
          <w:rFonts w:hint="eastAsia" w:ascii="楷体_GB2312" w:hAnsi="楷体_GB2312" w:eastAsia="楷体_GB2312" w:cs="楷体_GB2312"/>
          <w:b w:val="0"/>
          <w:bCs w:val="0"/>
          <w:spacing w:val="12"/>
          <w:sz w:val="32"/>
          <w:highlight w:val="none"/>
          <w:lang w:eastAsia="zh-CN"/>
        </w:rPr>
        <w:t>提升技术供给能力</w:t>
      </w:r>
      <w:r>
        <w:rPr>
          <w:rFonts w:hint="eastAsia" w:ascii="楷体_GB2312" w:hAnsi="楷体_GB2312" w:eastAsia="楷体_GB2312" w:cs="楷体_GB2312"/>
          <w:b w:val="0"/>
          <w:bCs w:val="0"/>
          <w:spacing w:val="12"/>
          <w:sz w:val="32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聚焦困扰传统产业转型升级的“卡脖子”难题，开展重大装备的关键核心技术攻关。锚定“5G+工业互联网”、先进电网和高效储能、高效节能环保装备、再制造等领域，开展共性关键技术、跨行业融合性技术、前沿技术研发和成果转化，发展新质生产力。定期发布全市绿色低碳先进技术和应用场景，组织申报节能降碳先进技术装备，鼓励节能高效技术广泛应用。力争到2027年，组织实施科研攻关项目300个。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（牵头单位：市科技局；责任单位：市经信局、市发改委）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40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40"/>
          <w:highlight w:val="none"/>
          <w:lang w:eastAsia="zh-CN"/>
        </w:rPr>
        <w:t>七、保障措施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117" w:firstLine="640"/>
        <w:jc w:val="both"/>
        <w:textAlignment w:val="auto"/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40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40"/>
          <w:highlight w:val="none"/>
          <w:lang w:val="en-US" w:eastAsia="zh-CN"/>
        </w:rPr>
        <w:t>（一）健全工作机制。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建立由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政府常务副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长领衔推动的大规模设备更新和消费品以旧换新工作机制，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发改委负责日常组织协调工作，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教育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局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经信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局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市住房和城市更新局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交通运输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局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农业农村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局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商务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局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文旅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局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卫健委、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水利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和湖泊局等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单位为行业牵头单位，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按职责分工制定相关领域的实施细则，逐步完善“1+N”政策体系，打好政策组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合拳。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科技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局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民政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局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财政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局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自然资源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和城乡建设局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生态环境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局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应急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管理局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市国资委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市场监管局、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市城管委、市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机关事务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服务中心、市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供销社、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税务局、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人行襄阳市分行、襄阳金融监管分局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等单位为责任单位，结合职能推进各项任务。各县（市、区）、开发区要落实属地管理责任，切实加强组织领导，建立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“两新”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工作协调机制，明确部门和单位责任分工，统筹推进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各项任务。</w:t>
      </w: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40"/>
          <w:highlight w:val="none"/>
          <w:lang w:val="en-US" w:eastAsia="zh-CN" w:bidi="ar-SA"/>
        </w:rPr>
        <w:t>（责任单位：市直各有关部门）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40"/>
          <w:highlight w:val="none"/>
          <w:lang w:val="en-US" w:eastAsia="zh-CN"/>
        </w:rPr>
        <w:t>（二）强化财税支持。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谋划储备设备更新、循环利用等重大项目，积极争取中央预算内投资、超长期特别国债等资金支持。用足用好节能减排补助资金、现代商贸流通体系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相关资金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，以及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城市交通发展奖励资金等各类专项资金。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加强财税、金融、产业、科技、环保等政策联动，加大‘两新’工作支持力度。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落实再生资源回收企业增值税简易征收等国家支持‘两新’税收政策，依申请受理资源回收企业向自然人报废产品出售者“反向开票”。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加强用地、用能、环评、人才要素保障，对不新增用地、以设备更新为主的技改项目，简化审批手续。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eastAsia="zh-CN"/>
        </w:rPr>
        <w:t>（牵头单位：市发改委、市财政局、市自然资源和城乡建设局、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val="en-US" w:eastAsia="zh-CN"/>
        </w:rPr>
        <w:t>市税务局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eastAsia="zh-CN"/>
        </w:rPr>
        <w:t>；责任单位：市经信局、市住房和城市更新局、市交通运输局、市生态环境局、市农业农村局、市商务局、市教育局、市卫健委、市文旅局）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40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40"/>
          <w:highlight w:val="none"/>
          <w:lang w:val="en-US" w:eastAsia="zh-CN"/>
        </w:rPr>
        <w:t>（三）加强金融支持。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引导金融机构加强对设备更新和技术改造的支持。推动融资租赁服务工业、教育、医疗、农业等重点领域设备更新。推动金融机构有效对接优质项目，更好的撬动社会资本。引导金融机构加强对绿色智能家电、新能源汽车生产消费的金融支持。</w:t>
      </w:r>
      <w:r>
        <w:rPr>
          <w:rFonts w:hint="eastAsia" w:ascii="楷体_GB2312" w:hAnsi="楷体_GB2312" w:eastAsia="楷体_GB2312" w:cs="楷体_GB2312"/>
          <w:sz w:val="32"/>
          <w:szCs w:val="40"/>
          <w:highlight w:val="none"/>
          <w:lang w:eastAsia="zh-CN"/>
        </w:rPr>
        <w:t>（牵头单位：人行襄阳市分行；责任单位：襄阳金融监管分局）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40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40"/>
          <w:highlight w:val="none"/>
          <w:lang w:val="en-US" w:eastAsia="zh-CN"/>
        </w:rPr>
        <w:t>（四）做好宣传督导。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加强政策宣传解读，正确引导社会预期。倡导绿色低碳发展理念，形成废旧物资循环利用的良好氛围。加强“两新”工作监管监测，查处企业骗补、价格欺诈等破坏市场秩序行为，保障政策实施的公平性和透明性。开展年度“两新”工作效果评估评价，调整完善支持政策，根据设备更新情况、企业和消费需求，实施滚动跟进。</w:t>
      </w:r>
      <w:r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40"/>
          <w:highlight w:val="none"/>
          <w:lang w:val="en-US" w:eastAsia="zh-CN" w:bidi="ar-SA"/>
        </w:rPr>
        <w:t>（责任单位：市直各有关部门）</w:t>
      </w:r>
    </w:p>
    <w:p>
      <w:pPr>
        <w:pStyle w:val="2"/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>
      <w:pPr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>
      <w:pPr>
        <w:pStyle w:val="2"/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>
      <w:pPr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>
      <w:pPr>
        <w:pStyle w:val="2"/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>
      <w:pPr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>
      <w:pPr>
        <w:pStyle w:val="2"/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>
      <w:pPr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>
      <w:pPr>
        <w:pStyle w:val="2"/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>
      <w:pPr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>
      <w:pPr>
        <w:pStyle w:val="2"/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>
      <w:pPr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>
      <w:pPr>
        <w:pStyle w:val="2"/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>
      <w:pPr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>
      <w:pPr>
        <w:pStyle w:val="2"/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>
      <w:pPr>
        <w:rPr>
          <w:rFonts w:hint="default"/>
          <w:highlight w:val="none"/>
          <w:lang w:val="en-US" w:eastAsia="zh-CN"/>
        </w:rPr>
      </w:pP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2098" w:right="1474" w:bottom="1984" w:left="1587" w:header="851" w:footer="992" w:gutter="0"/>
      <w:pgBorders w:display="first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0000000000000000000"/>
    <w:charset w:val="01"/>
    <w:family w:val="roman"/>
    <w:pitch w:val="default"/>
    <w:sig w:usb0="00000000" w:usb1="00000000" w:usb2="00000000" w:usb3="00000000" w:csb0="00000000" w:csb1="0000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widowControl w:val="0"/>
      <w:pBdr>
        <w:top w:val="none" w:color="auto" w:sz="0" w:space="1"/>
        <w:left w:val="none" w:color="auto" w:sz="0" w:space="4"/>
        <w:bottom w:val="thickThinSmallGap" w:color="FF0000" w:sz="24" w:space="1"/>
        <w:right w:val="none" w:color="auto" w:sz="0" w:space="4"/>
        <w:between w:val="none" w:color="auto" w:sz="0" w:space="0"/>
      </w:pBdr>
      <w:snapToGrid w:val="0"/>
      <w:jc w:val="left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hZTg5YzBhODcyZTJkZWIzZjQ4NjFmNjA5MzE4MTQifQ=="/>
  </w:docVars>
  <w:rsids>
    <w:rsidRoot w:val="00DE2E90"/>
    <w:rsid w:val="00000416"/>
    <w:rsid w:val="000E343D"/>
    <w:rsid w:val="001C1EEF"/>
    <w:rsid w:val="00210D29"/>
    <w:rsid w:val="002A08F5"/>
    <w:rsid w:val="002A4DC3"/>
    <w:rsid w:val="0034016B"/>
    <w:rsid w:val="003411E6"/>
    <w:rsid w:val="003B7AFD"/>
    <w:rsid w:val="003C6125"/>
    <w:rsid w:val="004478B3"/>
    <w:rsid w:val="004F34A0"/>
    <w:rsid w:val="005C4883"/>
    <w:rsid w:val="006036AD"/>
    <w:rsid w:val="00622786"/>
    <w:rsid w:val="00673CD3"/>
    <w:rsid w:val="006F68F7"/>
    <w:rsid w:val="00722C75"/>
    <w:rsid w:val="00781CE2"/>
    <w:rsid w:val="007D6414"/>
    <w:rsid w:val="00A60956"/>
    <w:rsid w:val="00B81E34"/>
    <w:rsid w:val="00C03F9A"/>
    <w:rsid w:val="00C853E6"/>
    <w:rsid w:val="00C90C9E"/>
    <w:rsid w:val="00CC4AF5"/>
    <w:rsid w:val="00CD69B6"/>
    <w:rsid w:val="00D02F20"/>
    <w:rsid w:val="00D51155"/>
    <w:rsid w:val="00DC64A3"/>
    <w:rsid w:val="00DD3D0A"/>
    <w:rsid w:val="00DE2E90"/>
    <w:rsid w:val="00E609CE"/>
    <w:rsid w:val="00EC7C1D"/>
    <w:rsid w:val="00F77B9E"/>
    <w:rsid w:val="017151D1"/>
    <w:rsid w:val="0A3767E4"/>
    <w:rsid w:val="0F3C15EE"/>
    <w:rsid w:val="295A3AA7"/>
    <w:rsid w:val="32FF7109"/>
    <w:rsid w:val="35B3D298"/>
    <w:rsid w:val="3C2BB4B0"/>
    <w:rsid w:val="3F73DDE7"/>
    <w:rsid w:val="3F750B70"/>
    <w:rsid w:val="453566C1"/>
    <w:rsid w:val="45F5311C"/>
    <w:rsid w:val="48A60D75"/>
    <w:rsid w:val="4F5F7043"/>
    <w:rsid w:val="4FF6D674"/>
    <w:rsid w:val="500C047A"/>
    <w:rsid w:val="501F62BB"/>
    <w:rsid w:val="655C11EA"/>
    <w:rsid w:val="736040DB"/>
    <w:rsid w:val="7DC04D26"/>
    <w:rsid w:val="AFFFBED5"/>
    <w:rsid w:val="BF7BDC2E"/>
    <w:rsid w:val="E7BB1675"/>
    <w:rsid w:val="ECB3E0B0"/>
    <w:rsid w:val="EE6C232C"/>
    <w:rsid w:val="F35D853E"/>
    <w:rsid w:val="F653E78E"/>
    <w:rsid w:val="FEEF70B0"/>
    <w:rsid w:val="FFFDEA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qFormat/>
    <w:uiPriority w:val="0"/>
    <w:pPr>
      <w:spacing w:before="0" w:after="140" w:line="276" w:lineRule="auto"/>
    </w:p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customStyle="1" w:styleId="11">
    <w:name w:val="页脚 Char"/>
    <w:link w:val="6"/>
    <w:qFormat/>
    <w:uiPriority w:val="0"/>
    <w:rPr>
      <w:kern w:val="2"/>
      <w:sz w:val="18"/>
      <w:szCs w:val="18"/>
    </w:rPr>
  </w:style>
  <w:style w:type="character" w:customStyle="1" w:styleId="12">
    <w:name w:val="页眉 Char"/>
    <w:link w:val="7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18</Words>
  <Characters>20</Characters>
  <Lines>1</Lines>
  <Paragraphs>1</Paragraphs>
  <TotalTime>9</TotalTime>
  <ScaleCrop>false</ScaleCrop>
  <LinksUpToDate>false</LinksUpToDate>
  <CharactersWithSpaces>21</CharactersWithSpaces>
  <Application>WPS Office_11.8.2.1116_F1E327BC-269C-435d-A152-05C5408002CA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2017-06-11T03:22:00Z</dcterms:created>
  <dc:creator>user</dc:creator>
  <cp:lastModifiedBy>环资科</cp:lastModifiedBy>
  <cp:lastPrinted>2024-07-16T09:30:00Z</cp:lastPrinted>
  <dcterms:modified xsi:type="dcterms:W3CDTF">2024-07-17T10:44:54Z</dcterms:modified>
  <dc:title>襄阳市人民政府文件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2052-11.8.2.1116</vt:lpwstr>
  </property>
  <property fmtid="{D5CDD505-2E9C-101B-9397-08002B2CF9AE}" pid="3" name="ICV">
    <vt:lpwstr>037159E2F85833012630976613D8F419</vt:lpwstr>
  </property>
</Properties>
</file>