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关于《襄阳牛肉面产业发展促进条例（草案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宋体" w:hAnsi="宋体" w:eastAsia="宋体" w:cs="黑体"/>
          <w:b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征求意见稿）》的起草说明</w:t>
      </w:r>
    </w:p>
    <w:p>
      <w:pPr>
        <w:ind w:firstLine="608" w:firstLineChars="200"/>
        <w:rPr>
          <w:rFonts w:ascii="方正仿宋_GB2312" w:hAnsi="方正仿宋_GB2312" w:eastAsia="方正仿宋_GB2312" w:cs="方正仿宋_GB2312"/>
          <w:color w:val="auto"/>
          <w:sz w:val="32"/>
          <w:szCs w:val="32"/>
        </w:rPr>
      </w:pPr>
    </w:p>
    <w:p>
      <w:pPr>
        <w:ind w:firstLine="608" w:firstLineChars="200"/>
        <w:rPr>
          <w:rFonts w:ascii="仿宋_GB2312" w:hAnsi="方正仿宋_GB2312" w:eastAsia="仿宋_GB2312" w:cs="方正仿宋_GB2312"/>
          <w:color w:val="auto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为传承和弘扬襄阳牛肉面文化，提升襄阳牛肉面品质与品牌价值，规范并促进襄阳牛肉面产业高质量发展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市发改委牵头起草了《襄阳</w:t>
      </w:r>
      <w:bookmarkStart w:id="3" w:name="_GoBack"/>
      <w:bookmarkEnd w:id="3"/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牛肉面产业发展促进条例（草案征求意见稿）》（以下简称</w:t>
      </w:r>
      <w:bookmarkStart w:id="0" w:name="OLE_LINK2"/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《草案》</w:t>
      </w:r>
      <w:bookmarkEnd w:id="0"/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）。现就有关情况说明如下：</w:t>
      </w:r>
    </w:p>
    <w:p>
      <w:pPr>
        <w:ind w:firstLine="608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一、 立法背景</w:t>
      </w:r>
    </w:p>
    <w:p>
      <w:pPr>
        <w:ind w:firstLine="608" w:firstLineChars="200"/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襄阳牛肉面承载着悠久的历史文化，是深受市民喜爱的特色小吃。近年来，特别是经过主流媒体和知名人士的推介，其知名度迅速提升，已成为襄阳一张亮丽的城市名片。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如今，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襄阳牛肉面产业发展迅猛，不仅在市内遍地开花，更走向全国，店面数量已达数万家，形成了可观的产业规模。</w:t>
      </w:r>
    </w:p>
    <w:p>
      <w:pPr>
        <w:ind w:firstLine="608" w:firstLineChars="200"/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市委、市政府始终高度重视襄阳牛肉面产业的发展，早在2017年就成立了专门的领导小组，并出台了旨在推动产业“走出去”的实施方案。近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年，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国家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明确了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支持</w:t>
      </w:r>
      <w:bookmarkStart w:id="1" w:name="OLE_LINK1"/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传统优势食品产区和地方特色食品产业</w:t>
      </w:r>
      <w:bookmarkEnd w:id="1"/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培育发展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的政策导向，为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推动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襄阳牛肉面产业高质量发展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，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市委、市政府对襄阳牛肉面产业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制定了目标更宏伟、措施更系统的总体实施方案。在这样的发展态势和政策环境下，将以往行之有效的做法经验化、制度化，并通过法治手段破解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襄阳牛肉面产业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当前面临的深层次矛盾与挑战，为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其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持续健康发展保驾护航，显得尤为必要且正当其时。</w:t>
      </w:r>
    </w:p>
    <w:p>
      <w:pPr>
        <w:ind w:firstLine="608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二、 立法必要性与可行性</w:t>
      </w:r>
    </w:p>
    <w:p>
      <w:pPr>
        <w:ind w:firstLine="608" w:firstLineChars="200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（一）贯彻国家发展战略、服务乡村振兴的需要</w:t>
      </w:r>
    </w:p>
    <w:p>
      <w:pPr>
        <w:ind w:firstLine="608" w:firstLineChars="200"/>
        <w:rPr>
          <w:rFonts w:ascii="仿宋_GB2312" w:hAnsi="方正仿宋_GB2312" w:eastAsia="仿宋_GB2312" w:cs="方正仿宋_GB2312"/>
          <w:color w:val="auto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近年来，国家积极支持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传统优势食品产区和地方特色食品产业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发展，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工业和信息化部等十一部门出台了《关于培育传统优势食品产区和地方特色食品产业的指导意见》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用于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指导地方特色食品产业发展的方向。襄阳牛肉面产业横跨种养、加工、餐饮等多个环节，是促进一二三产业融合、带动农民增收的有效载体，通过立法加以规范和促进，正是落实国家发展战略、赋能乡村产业振兴的具体行动。</w:t>
      </w:r>
    </w:p>
    <w:p>
      <w:pPr>
        <w:ind w:firstLine="608" w:firstLineChars="200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(二）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破解发展瓶颈、推动产业高质量发展的现实需要</w:t>
      </w:r>
    </w:p>
    <w:p>
      <w:pPr>
        <w:ind w:firstLine="608" w:firstLineChars="200"/>
        <w:rPr>
          <w:rFonts w:ascii="仿宋_GB2312" w:hAnsi="方正仿宋_GB2312" w:eastAsia="仿宋_GB2312" w:cs="方正仿宋_GB2312"/>
          <w:color w:val="auto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尽管产业发展势头良好，但对标国内先进的特色食品产业，襄阳牛肉面产业仍面临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龙头带动不强、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标准化体系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不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健全、品牌价值挖掘与保护不足、全产业链协同有待加强等制约因素，亟需通过地方立法进行系统性制度设计，明确方向、规范秩序、整合资源、优化环境。</w:t>
      </w:r>
    </w:p>
    <w:p>
      <w:pPr>
        <w:ind w:firstLine="608" w:firstLineChars="200"/>
        <w:rPr>
          <w:rFonts w:hint="eastAsia" w:ascii="楷体_GB2312" w:hAnsi="楷体_GB2312" w:eastAsia="楷体_GB2312" w:cs="楷体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（三）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回应社会期盼、增进民生福祉的内在要求</w:t>
      </w:r>
    </w:p>
    <w:p>
      <w:pPr>
        <w:ind w:firstLine="608" w:firstLineChars="200"/>
        <w:rPr>
          <w:rFonts w:ascii="仿宋_GB2312" w:hAnsi="方正仿宋_GB2312" w:eastAsia="仿宋_GB2312" w:cs="方正仿宋_GB2312"/>
          <w:color w:val="auto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襄阳牛肉面产业关乎数万从业者的生计，立法加强扶持与保障，有助于稳就业、促共富。同时，面对消费者日益增长的食品安全和品质体验需求，立法能有效规范市场行为，提升产品质量，保护消费者权益，满足人民对美好生活的向往。</w:t>
      </w:r>
    </w:p>
    <w:p>
      <w:pPr>
        <w:ind w:firstLine="608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三、起草过程</w:t>
      </w:r>
    </w:p>
    <w:p>
      <w:pPr>
        <w:ind w:firstLine="608" w:firstLineChars="200"/>
        <w:rPr>
          <w:rFonts w:ascii="仿宋_GB2312" w:hAnsi="方正仿宋_GB2312" w:eastAsia="仿宋_GB2312" w:cs="方正仿宋_GB2312"/>
          <w:color w:val="auto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经省人大批复，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《襄阳牛肉面产业发展促进条例》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被列入我市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val="en-US" w:eastAsia="zh-CN"/>
        </w:rPr>
        <w:t>2025年立法计划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。3月，市人大印发《&lt;襄阳牛肉面产业发展促进条例&gt;立法工作方案》，明确部门工作职责和时间节点，构建领导小组和工作专班，统筹推进立法各项工作。4月，通过线上问卷调查的形式，广泛组织牛肉面产业链市场主体和消费群体参与问卷作答，听取企业、店面、群众等群体意见并做好问卷分析报告，有效掌握市场趋势及客户需求变化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并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学习借鉴外地立法经验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val="en-US" w:eastAsia="zh-CN"/>
        </w:rPr>
        <w:t>,同时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，书面征求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相关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部门和单位意见建议，在充分吸收各方建议基础上，对《草案》进行修改完善，形成征求意见稿。</w:t>
      </w:r>
    </w:p>
    <w:p>
      <w:pPr>
        <w:ind w:firstLine="608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四、立法重点解决的问题</w:t>
      </w:r>
    </w:p>
    <w:p>
      <w:pPr>
        <w:ind w:firstLine="608" w:firstLineChars="200"/>
        <w:rPr>
          <w:rFonts w:ascii="仿宋_GB2312" w:hAnsi="方正仿宋_GB2312" w:eastAsia="仿宋_GB2312" w:cs="方正仿宋_GB2312"/>
          <w:color w:val="auto"/>
          <w:sz w:val="32"/>
          <w:szCs w:val="32"/>
        </w:rPr>
      </w:pPr>
      <w:bookmarkStart w:id="2" w:name="OLE_LINK3"/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《草案》</w:t>
      </w:r>
      <w:bookmarkEnd w:id="2"/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坚持问题导向，力求精准回应产业发展的痛点问题，重点在以下几个方面进行制度设计：</w:t>
      </w:r>
    </w:p>
    <w:p>
      <w:pPr>
        <w:ind w:firstLine="608" w:firstLineChars="200"/>
        <w:rPr>
          <w:rFonts w:ascii="仿宋_GB2312" w:hAnsi="方正仿宋_GB2312" w:eastAsia="仿宋_GB2312" w:cs="方正仿宋_GB2312"/>
          <w:color w:val="auto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b/>
          <w:bCs/>
          <w:color w:val="auto"/>
          <w:sz w:val="32"/>
          <w:szCs w:val="32"/>
        </w:rPr>
        <w:t>一是着力破解标准化难题。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针对品质不一的问题，《草案》专章规定质量管理与标准建设，强调要建立健全覆盖全产业链的标准体系，以标准化引领品质提升和品牌形象统一。</w:t>
      </w:r>
    </w:p>
    <w:p>
      <w:pPr>
        <w:ind w:firstLine="608" w:firstLineChars="200"/>
        <w:rPr>
          <w:rFonts w:ascii="仿宋_GB2312" w:hAnsi="方正仿宋_GB2312" w:eastAsia="仿宋_GB2312" w:cs="方正仿宋_GB2312"/>
          <w:color w:val="auto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b/>
          <w:bCs/>
          <w:color w:val="auto"/>
          <w:sz w:val="32"/>
          <w:szCs w:val="32"/>
        </w:rPr>
        <w:t>二是强化品牌建设与保护。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针对品牌形象散乱、保护不足的现状，《草案》不仅规范商标使用，更突出强调品牌形象的统一性要求和全方位的品牌保护机制，致力于提升品牌价值和市场竞争力。</w:t>
      </w:r>
    </w:p>
    <w:p>
      <w:pPr>
        <w:ind w:firstLine="608" w:firstLineChars="200"/>
        <w:rPr>
          <w:rFonts w:ascii="仿宋_GB2312" w:hAnsi="方正仿宋_GB2312" w:eastAsia="仿宋_GB2312" w:cs="方正仿宋_GB2312"/>
          <w:color w:val="auto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b/>
          <w:bCs/>
          <w:color w:val="auto"/>
          <w:sz w:val="32"/>
          <w:szCs w:val="32"/>
        </w:rPr>
        <w:t>三是兼顾龙头培育与小微帮扶。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立法既要培育具有带动力的骨干企业，也要关注量大面广的小微经营主体。为此，《草案》设计了企业梯度培育机制，并创新性地设立了“小微主体帮扶”专条，从优化审批、降本增效、技能培训、技艺传承、宣传倾斜、环境改善等多个维度提供精准支持。</w:t>
      </w:r>
    </w:p>
    <w:p>
      <w:pPr>
        <w:ind w:firstLine="608" w:firstLineChars="200"/>
        <w:rPr>
          <w:rFonts w:ascii="仿宋_GB2312" w:hAnsi="方正仿宋_GB2312" w:eastAsia="仿宋_GB2312" w:cs="方正仿宋_GB2312"/>
          <w:color w:val="auto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b/>
          <w:bCs/>
          <w:color w:val="auto"/>
          <w:sz w:val="32"/>
          <w:szCs w:val="32"/>
        </w:rPr>
        <w:t>四是促进全产业链协同与要素保障。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围绕产业链延伸和协同，《草案》对原料基地、加工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生产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、供应链平台等作了规定。同时，系统性地提出了财税、金融、营商环境、用地、人才、科技、公共服务等一揽子支持保障措施，力图打通要素瓶颈。</w:t>
      </w:r>
    </w:p>
    <w:p>
      <w:pPr>
        <w:ind w:firstLine="608" w:firstLineChars="200"/>
        <w:rPr>
          <w:rFonts w:ascii="仿宋_GB2312" w:hAnsi="方正仿宋_GB2312" w:eastAsia="仿宋_GB2312" w:cs="方正仿宋_GB2312"/>
          <w:color w:val="auto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b/>
          <w:bCs/>
          <w:color w:val="auto"/>
          <w:sz w:val="32"/>
          <w:szCs w:val="32"/>
        </w:rPr>
        <w:t>五是深化文化挖掘与文旅融合。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为充分发挥襄阳牛肉面的文化价值，《草案》不仅强调文化挖掘研究与非遗保护，还鼓励拓展文旅融合路径，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支持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开发文创产品、建设主题街区、发展新业态，推动产业边界拓展和价值提升。</w:t>
      </w:r>
    </w:p>
    <w:p>
      <w:pPr>
        <w:ind w:firstLine="608" w:firstLineChars="200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五、立法主要内容</w:t>
      </w:r>
    </w:p>
    <w:p>
      <w:pPr>
        <w:ind w:firstLine="608" w:firstLineChars="200"/>
        <w:rPr>
          <w:rFonts w:ascii="仿宋_GB2312" w:hAnsi="方正仿宋_GB2312" w:eastAsia="仿宋_GB2312" w:cs="方正仿宋_GB2312"/>
          <w:color w:val="auto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《草案》共七章六十条，主要内容包括：</w:t>
      </w:r>
    </w:p>
    <w:p>
      <w:pPr>
        <w:ind w:firstLine="608" w:firstLineChars="200"/>
        <w:rPr>
          <w:rFonts w:ascii="仿宋_GB2312" w:hAnsi="方正仿宋_GB2312" w:eastAsia="仿宋_GB2312" w:cs="方正仿宋_GB2312"/>
          <w:color w:val="auto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第一章明确立法目的、适用范围、基本原则、政府与部门职责、行业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社会组织职责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、资金保障、宣传、监督与奖励等规定。</w:t>
      </w:r>
    </w:p>
    <w:p>
      <w:pPr>
        <w:ind w:firstLine="608" w:firstLineChars="200"/>
        <w:rPr>
          <w:rFonts w:ascii="仿宋_GB2312" w:hAnsi="方正仿宋_GB2312" w:eastAsia="仿宋_GB2312" w:cs="方正仿宋_GB2312"/>
          <w:color w:val="auto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第二章规定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发展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规划编制、原料基地建设、利益联结、加工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产业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发展、全产业链构建、供应链平台、骨干与梯度培育、产业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集聚发展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、连锁经营、市场营销与国际拓展等，重在规划引领和主体培育。</w:t>
      </w:r>
    </w:p>
    <w:p>
      <w:pPr>
        <w:ind w:firstLine="608" w:firstLineChars="200"/>
        <w:rPr>
          <w:rFonts w:ascii="仿宋_GB2312" w:hAnsi="方正仿宋_GB2312" w:eastAsia="仿宋_GB2312" w:cs="方正仿宋_GB2312"/>
          <w:color w:val="auto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第三章强调标准体系建设、原料管理、生产过程控制、包装标识、门店规范、追溯体系、质量认证及质量基础设施协同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安全监督，重在质量提升和安全保障。</w:t>
      </w:r>
    </w:p>
    <w:p>
      <w:pPr>
        <w:ind w:firstLine="608" w:firstLineChars="200"/>
        <w:rPr>
          <w:rFonts w:ascii="仿宋_GB2312" w:hAnsi="方正仿宋_GB2312" w:eastAsia="仿宋_GB2312" w:cs="方正仿宋_GB2312"/>
          <w:color w:val="auto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第四章规定品牌发展导向、商标保护、品牌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规范与推广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、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品牌保护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、专业服务、文化挖掘研究、非遗保护传承及文旅融合促进，重在品牌建设和文化赋能。</w:t>
      </w:r>
    </w:p>
    <w:p>
      <w:pPr>
        <w:ind w:firstLine="608" w:firstLineChars="200"/>
        <w:rPr>
          <w:rFonts w:ascii="仿宋_GB2312" w:hAnsi="方正仿宋_GB2312" w:eastAsia="仿宋_GB2312" w:cs="方正仿宋_GB2312"/>
          <w:color w:val="auto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第五章系统规定了财税、专项资金、金融、营商环境、小微主体精准帮扶、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  <w:lang w:eastAsia="zh-CN"/>
        </w:rPr>
        <w:t>优化</w:t>
      </w: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就餐环境、用地用房、冷链物流、人才、科技、公共服务平台、产教研融合、产业升级等全方位支持措施，重在要素保障和服务优化。</w:t>
      </w:r>
    </w:p>
    <w:p>
      <w:pPr>
        <w:ind w:firstLine="608" w:firstLineChars="200"/>
        <w:rPr>
          <w:rFonts w:ascii="仿宋_GB2312" w:hAnsi="方正仿宋_GB2312" w:eastAsia="仿宋_GB2312" w:cs="方正仿宋_GB2312"/>
          <w:color w:val="auto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第六章规定法律责任、侵权处理及国家工作人员责任。</w:t>
      </w:r>
    </w:p>
    <w:p>
      <w:pPr>
        <w:ind w:firstLine="608" w:firstLineChars="200"/>
        <w:rPr>
          <w:rFonts w:ascii="仿宋_GB2312" w:hAnsi="方正仿宋_GB2312" w:eastAsia="仿宋_GB2312" w:cs="方正仿宋_GB2312"/>
          <w:color w:val="auto"/>
          <w:sz w:val="32"/>
          <w:szCs w:val="32"/>
        </w:rPr>
      </w:pPr>
      <w:r>
        <w:rPr>
          <w:rFonts w:hint="eastAsia" w:ascii="仿宋_GB2312" w:hAnsi="方正仿宋_GB2312" w:eastAsia="仿宋_GB2312" w:cs="方正仿宋_GB2312"/>
          <w:color w:val="auto"/>
          <w:sz w:val="32"/>
          <w:szCs w:val="32"/>
        </w:rPr>
        <w:t>第七章界定核心概念并明确施行日期。</w:t>
      </w:r>
    </w:p>
    <w:p>
      <w:pPr>
        <w:ind w:firstLine="608" w:firstLineChars="200"/>
        <w:rPr>
          <w:rFonts w:ascii="仿宋_GB2312" w:hAnsi="方正仿宋_GB2312" w:eastAsia="仿宋_GB2312" w:cs="方正仿宋_GB2312"/>
          <w:color w:val="auto"/>
          <w:sz w:val="32"/>
          <w:szCs w:val="32"/>
        </w:rPr>
      </w:pPr>
    </w:p>
    <w:sectPr>
      <w:footerReference r:id="rId3" w:type="default"/>
      <w:pgSz w:w="11906" w:h="16838"/>
      <w:pgMar w:top="1701" w:right="1701" w:bottom="1701" w:left="1701" w:header="851" w:footer="992" w:gutter="0"/>
      <w:cols w:space="0" w:num="1"/>
      <w:rtlGutter w:val="0"/>
      <w:docGrid w:type="linesAndChars" w:linePitch="292" w:charSpace="-34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97"/>
  <w:drawingGridVerticalSpacing w:val="14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3FFD30F"/>
    <w:rsid w:val="00056576"/>
    <w:rsid w:val="000C4CE3"/>
    <w:rsid w:val="004E45AD"/>
    <w:rsid w:val="005C1FDB"/>
    <w:rsid w:val="006633A3"/>
    <w:rsid w:val="00741380"/>
    <w:rsid w:val="00825B87"/>
    <w:rsid w:val="008C6883"/>
    <w:rsid w:val="00C63299"/>
    <w:rsid w:val="00E669D6"/>
    <w:rsid w:val="00E85BB9"/>
    <w:rsid w:val="0BA123F4"/>
    <w:rsid w:val="122B55A0"/>
    <w:rsid w:val="27A853C2"/>
    <w:rsid w:val="2F116561"/>
    <w:rsid w:val="37720526"/>
    <w:rsid w:val="38375A09"/>
    <w:rsid w:val="39510DE6"/>
    <w:rsid w:val="408F657F"/>
    <w:rsid w:val="40F913EE"/>
    <w:rsid w:val="43B741EF"/>
    <w:rsid w:val="4BB94173"/>
    <w:rsid w:val="5DFF19C8"/>
    <w:rsid w:val="74BE73A1"/>
    <w:rsid w:val="7CED5062"/>
    <w:rsid w:val="7EFE9F62"/>
    <w:rsid w:val="7F8E0015"/>
    <w:rsid w:val="E3FFD30F"/>
    <w:rsid w:val="FEF688F9"/>
    <w:rsid w:val="FFFE2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418</Words>
  <Characters>2387</Characters>
  <Lines>19</Lines>
  <Paragraphs>5</Paragraphs>
  <TotalTime>1</TotalTime>
  <ScaleCrop>false</ScaleCrop>
  <LinksUpToDate>false</LinksUpToDate>
  <CharactersWithSpaces>2800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2025-04-24T23:08:00Z</dcterms:created>
  <dc:creator>岩子</dc:creator>
  <cp:lastModifiedBy>Administrator</cp:lastModifiedBy>
  <cp:lastPrinted>2025-04-25T09:38:00Z</cp:lastPrinted>
  <dcterms:modified xsi:type="dcterms:W3CDTF">2025-04-25T10:35:10Z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A67FD91944F2ED90D0B4096851609983_43</vt:lpwstr>
  </property>
</Properties>
</file>